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286"/>
        </w:tabs>
        <w:spacing w:before="31"/>
        <w:ind w:right="15"/>
        <w:jc w:val="center"/>
        <w:rPr>
          <w:color w:val="auto"/>
        </w:rPr>
      </w:pPr>
      <w:r>
        <w:rPr>
          <w:rFonts w:hint="eastAsia"/>
          <w:color w:val="auto"/>
        </w:rPr>
        <w:t>评分办法及评分标准</w:t>
      </w:r>
    </w:p>
    <w:p>
      <w:pPr>
        <w:rPr>
          <w:color w:val="auto"/>
        </w:rPr>
      </w:pPr>
    </w:p>
    <w:p>
      <w:pPr>
        <w:spacing w:line="360" w:lineRule="auto"/>
        <w:ind w:firstLine="482" w:firstLineChars="200"/>
        <w:jc w:val="center"/>
        <w:outlineLvl w:val="0"/>
        <w:rPr>
          <w:b/>
          <w:bCs/>
          <w:color w:val="auto"/>
          <w:sz w:val="24"/>
          <w:szCs w:val="24"/>
        </w:rPr>
      </w:pPr>
      <w:bookmarkStart w:id="0" w:name="_Toc7040_WPSOffice_Level2"/>
      <w:r>
        <w:rPr>
          <w:rFonts w:hint="eastAsia"/>
          <w:b/>
          <w:bCs/>
          <w:color w:val="auto"/>
          <w:sz w:val="24"/>
          <w:szCs w:val="24"/>
        </w:rPr>
        <w:t>一、符合性审查</w:t>
      </w:r>
      <w:bookmarkEnd w:id="0"/>
    </w:p>
    <w:p>
      <w:pPr>
        <w:spacing w:line="360" w:lineRule="auto"/>
        <w:ind w:firstLine="420" w:firstLineChars="200"/>
        <w:rPr>
          <w:color w:val="auto"/>
        </w:rPr>
      </w:pPr>
      <w:r>
        <w:rPr>
          <w:rFonts w:hint="eastAsia"/>
          <w:color w:val="auto"/>
        </w:rPr>
        <w:t>1.资格审查。开标结束后，首先按照《政府采购货物和服务招标投标管理办法》（财政部第87号令）由</w:t>
      </w:r>
      <w:r>
        <w:rPr>
          <w:rFonts w:hint="eastAsia"/>
          <w:color w:val="auto"/>
          <w:lang w:val="en-US" w:eastAsia="zh-CN"/>
        </w:rPr>
        <w:t>河南博物院文保中心、纪检部门、财务处组成的评标委员会</w:t>
      </w:r>
      <w:r>
        <w:rPr>
          <w:rFonts w:hint="eastAsia"/>
          <w:color w:val="auto"/>
        </w:rPr>
        <w:t>对投标人的资格性进行审查。内容如下：</w:t>
      </w:r>
    </w:p>
    <w:tbl>
      <w:tblPr>
        <w:tblStyle w:val="10"/>
        <w:tblW w:w="9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502"/>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4352" w:type="dxa"/>
            <w:gridSpan w:val="2"/>
            <w:tcBorders>
              <w:bottom w:val="single" w:color="auto" w:sz="4" w:space="0"/>
            </w:tcBorders>
            <w:noWrap/>
            <w:tcMar>
              <w:left w:w="57" w:type="dxa"/>
              <w:right w:w="57" w:type="dxa"/>
            </w:tcMar>
            <w:vAlign w:val="center"/>
          </w:tcPr>
          <w:p>
            <w:pPr>
              <w:spacing w:line="360" w:lineRule="auto"/>
              <w:jc w:val="center"/>
              <w:rPr>
                <w:b/>
                <w:color w:val="auto"/>
              </w:rPr>
            </w:pPr>
            <w:bookmarkStart w:id="1" w:name="OLE_LINK15"/>
            <w:r>
              <w:rPr>
                <w:rFonts w:hint="eastAsia"/>
                <w:b/>
                <w:color w:val="auto"/>
              </w:rPr>
              <w:t>评审因素</w:t>
            </w:r>
          </w:p>
        </w:tc>
        <w:tc>
          <w:tcPr>
            <w:tcW w:w="5025" w:type="dxa"/>
            <w:tcBorders>
              <w:bottom w:val="single" w:color="auto" w:sz="4" w:space="0"/>
            </w:tcBorders>
            <w:noWrap/>
            <w:tcMar>
              <w:left w:w="57" w:type="dxa"/>
              <w:right w:w="57" w:type="dxa"/>
            </w:tcMar>
            <w:vAlign w:val="center"/>
          </w:tcPr>
          <w:p>
            <w:pPr>
              <w:spacing w:line="360" w:lineRule="auto"/>
              <w:jc w:val="center"/>
              <w:rPr>
                <w:b/>
                <w:color w:val="auto"/>
              </w:rPr>
            </w:pPr>
            <w:r>
              <w:rPr>
                <w:rFonts w:hint="eastAsia"/>
                <w:b/>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850" w:type="dxa"/>
            <w:vMerge w:val="restart"/>
            <w:noWrap/>
            <w:tcMar>
              <w:left w:w="57" w:type="dxa"/>
              <w:right w:w="57" w:type="dxa"/>
            </w:tcMar>
            <w:vAlign w:val="center"/>
          </w:tcPr>
          <w:p>
            <w:pPr>
              <w:spacing w:line="360" w:lineRule="auto"/>
              <w:jc w:val="center"/>
              <w:rPr>
                <w:color w:val="auto"/>
              </w:rPr>
            </w:pPr>
            <w:r>
              <w:rPr>
                <w:rFonts w:hint="eastAsia"/>
                <w:color w:val="auto"/>
              </w:rPr>
              <w:t>资格性审查</w:t>
            </w:r>
          </w:p>
        </w:tc>
        <w:tc>
          <w:tcPr>
            <w:tcW w:w="3502" w:type="dxa"/>
            <w:noWrap/>
            <w:tcMar>
              <w:left w:w="57" w:type="dxa"/>
              <w:right w:w="57" w:type="dxa"/>
            </w:tcMar>
            <w:vAlign w:val="center"/>
          </w:tcPr>
          <w:p>
            <w:pPr>
              <w:spacing w:line="312" w:lineRule="auto"/>
              <w:jc w:val="center"/>
              <w:rPr>
                <w:color w:val="auto"/>
              </w:rPr>
            </w:pPr>
            <w:r>
              <w:rPr>
                <w:rFonts w:hint="eastAsia"/>
                <w:color w:val="auto"/>
              </w:rPr>
              <w:t>营业执照</w:t>
            </w:r>
          </w:p>
        </w:tc>
        <w:tc>
          <w:tcPr>
            <w:tcW w:w="5025" w:type="dxa"/>
            <w:noWrap/>
            <w:vAlign w:val="center"/>
          </w:tcPr>
          <w:p>
            <w:pPr>
              <w:spacing w:line="312" w:lineRule="auto"/>
              <w:jc w:val="center"/>
              <w:rPr>
                <w:color w:val="auto"/>
              </w:rPr>
            </w:pPr>
            <w:r>
              <w:rPr>
                <w:rFonts w:hint="eastAsia"/>
                <w:color w:val="auto"/>
              </w:rPr>
              <w:t>有效期内营业执照扫描件加盖公章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trPr>
        <w:tc>
          <w:tcPr>
            <w:tcW w:w="850" w:type="dxa"/>
            <w:vMerge w:val="continue"/>
            <w:noWrap/>
            <w:tcMar>
              <w:left w:w="57" w:type="dxa"/>
              <w:right w:w="57" w:type="dxa"/>
            </w:tcMar>
            <w:vAlign w:val="center"/>
          </w:tcPr>
          <w:p>
            <w:pPr>
              <w:spacing w:line="360" w:lineRule="auto"/>
              <w:ind w:firstLine="630" w:firstLineChars="300"/>
              <w:jc w:val="center"/>
              <w:rPr>
                <w:color w:val="auto"/>
              </w:rPr>
            </w:pPr>
          </w:p>
        </w:tc>
        <w:tc>
          <w:tcPr>
            <w:tcW w:w="3502" w:type="dxa"/>
            <w:noWrap/>
            <w:tcMar>
              <w:left w:w="57" w:type="dxa"/>
              <w:right w:w="57" w:type="dxa"/>
            </w:tcMar>
            <w:vAlign w:val="center"/>
          </w:tcPr>
          <w:p>
            <w:pPr>
              <w:pStyle w:val="7"/>
              <w:spacing w:line="312" w:lineRule="auto"/>
              <w:jc w:val="center"/>
              <w:rPr>
                <w:rFonts w:hAnsi="宋体"/>
                <w:color w:val="auto"/>
                <w:szCs w:val="21"/>
              </w:rPr>
            </w:pPr>
            <w:r>
              <w:rPr>
                <w:rFonts w:hint="eastAsia" w:hAnsi="宋体"/>
                <w:color w:val="auto"/>
                <w:szCs w:val="21"/>
              </w:rPr>
              <w:t>具有良好的商业信誉和健全的财务会计制度</w:t>
            </w:r>
          </w:p>
        </w:tc>
        <w:tc>
          <w:tcPr>
            <w:tcW w:w="5025" w:type="dxa"/>
            <w:tcBorders/>
            <w:noWrap/>
            <w:vAlign w:val="center"/>
          </w:tcPr>
          <w:p>
            <w:pPr>
              <w:pStyle w:val="7"/>
              <w:spacing w:line="312" w:lineRule="auto"/>
              <w:rPr>
                <w:rFonts w:hAnsi="宋体"/>
                <w:color w:val="auto"/>
                <w:szCs w:val="21"/>
              </w:rPr>
            </w:pPr>
            <w:r>
              <w:rPr>
                <w:rFonts w:hint="eastAsia" w:hAnsi="宋体"/>
                <w:color w:val="auto"/>
                <w:szCs w:val="21"/>
              </w:rPr>
              <w:t>提供20</w:t>
            </w:r>
            <w:r>
              <w:rPr>
                <w:rFonts w:hint="eastAsia" w:hAnsi="宋体"/>
                <w:color w:val="auto"/>
                <w:szCs w:val="21"/>
                <w:lang w:val="en-US" w:eastAsia="zh-CN"/>
              </w:rPr>
              <w:t>20</w:t>
            </w:r>
            <w:r>
              <w:rPr>
                <w:rFonts w:hint="eastAsia" w:hAnsi="宋体"/>
                <w:color w:val="auto"/>
                <w:szCs w:val="21"/>
              </w:rPr>
              <w:t>年度经会计事务所或第三方审计机构审计的财务审计报告（财务审计报告包含资产负债表、利润表、现金流量表和财务报表附注，即“三表一注”，且须有注册会计师签字、盖章，新成立企业不足以提供20</w:t>
            </w:r>
            <w:r>
              <w:rPr>
                <w:rFonts w:hint="eastAsia" w:hAnsi="宋体"/>
                <w:color w:val="auto"/>
                <w:szCs w:val="21"/>
                <w:lang w:val="en-US" w:eastAsia="zh-CN"/>
              </w:rPr>
              <w:t>20</w:t>
            </w:r>
            <w:r>
              <w:rPr>
                <w:rFonts w:hint="eastAsia" w:hAnsi="宋体"/>
                <w:color w:val="auto"/>
                <w:szCs w:val="21"/>
              </w:rPr>
              <w:t>年度审计报告的须提供基本开户银行出具的资信证明）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trPr>
        <w:tc>
          <w:tcPr>
            <w:tcW w:w="850" w:type="dxa"/>
            <w:vMerge w:val="continue"/>
            <w:noWrap/>
            <w:tcMar>
              <w:left w:w="57" w:type="dxa"/>
              <w:right w:w="57" w:type="dxa"/>
            </w:tcMar>
            <w:vAlign w:val="center"/>
          </w:tcPr>
          <w:p>
            <w:pPr>
              <w:spacing w:line="360" w:lineRule="auto"/>
              <w:ind w:firstLine="630" w:firstLineChars="300"/>
              <w:rPr>
                <w:color w:val="auto"/>
              </w:rPr>
            </w:pPr>
          </w:p>
        </w:tc>
        <w:tc>
          <w:tcPr>
            <w:tcW w:w="3502" w:type="dxa"/>
            <w:noWrap/>
            <w:tcMar>
              <w:left w:w="57" w:type="dxa"/>
              <w:right w:w="57" w:type="dxa"/>
            </w:tcMar>
            <w:vAlign w:val="center"/>
          </w:tcPr>
          <w:p>
            <w:pPr>
              <w:pStyle w:val="7"/>
              <w:spacing w:line="312" w:lineRule="auto"/>
              <w:jc w:val="center"/>
              <w:rPr>
                <w:rFonts w:hAnsi="宋体"/>
                <w:color w:val="auto"/>
                <w:szCs w:val="21"/>
              </w:rPr>
            </w:pPr>
            <w:r>
              <w:rPr>
                <w:rFonts w:hint="eastAsia" w:hAnsi="宋体"/>
                <w:color w:val="auto"/>
                <w:szCs w:val="21"/>
              </w:rPr>
              <w:t>有依法缴纳税收和社会保障资金的良好记录</w:t>
            </w:r>
          </w:p>
        </w:tc>
        <w:tc>
          <w:tcPr>
            <w:tcW w:w="5025" w:type="dxa"/>
            <w:noWrap/>
            <w:vAlign w:val="center"/>
          </w:tcPr>
          <w:p>
            <w:pPr>
              <w:pStyle w:val="7"/>
              <w:spacing w:line="312" w:lineRule="auto"/>
              <w:rPr>
                <w:rFonts w:hAnsi="宋体"/>
                <w:color w:val="auto"/>
                <w:szCs w:val="21"/>
              </w:rPr>
            </w:pPr>
            <w:r>
              <w:rPr>
                <w:rFonts w:hint="eastAsia" w:hAnsi="宋体"/>
                <w:color w:val="auto"/>
                <w:szCs w:val="21"/>
              </w:rPr>
              <w:t>提供20</w:t>
            </w:r>
            <w:r>
              <w:rPr>
                <w:rFonts w:hint="eastAsia" w:hAnsi="宋体"/>
                <w:color w:val="auto"/>
                <w:szCs w:val="21"/>
                <w:lang w:val="en-US" w:eastAsia="zh-CN"/>
              </w:rPr>
              <w:t>20</w:t>
            </w:r>
            <w:r>
              <w:rPr>
                <w:rFonts w:hint="eastAsia" w:hAnsi="宋体"/>
                <w:color w:val="auto"/>
                <w:szCs w:val="21"/>
              </w:rPr>
              <w:t>年</w:t>
            </w:r>
            <w:r>
              <w:rPr>
                <w:rFonts w:hint="eastAsia" w:hAnsi="宋体"/>
                <w:color w:val="auto"/>
                <w:szCs w:val="21"/>
                <w:lang w:val="en-US" w:eastAsia="zh-CN"/>
              </w:rPr>
              <w:t>1月</w:t>
            </w:r>
            <w:r>
              <w:rPr>
                <w:rFonts w:hint="eastAsia" w:hAnsi="宋体"/>
                <w:color w:val="auto"/>
                <w:szCs w:val="21"/>
              </w:rPr>
              <w:t>以来任意连续三个月缴纳税收和社保证明，以税局出具的完税证明或银行扣款凭证为准，依法如享有免税政策的或不需要缴纳社保的，提供相关证明文件。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850" w:type="dxa"/>
            <w:vMerge w:val="continue"/>
            <w:noWrap/>
            <w:tcMar>
              <w:left w:w="57" w:type="dxa"/>
              <w:right w:w="57" w:type="dxa"/>
            </w:tcMar>
            <w:vAlign w:val="center"/>
          </w:tcPr>
          <w:p>
            <w:pPr>
              <w:spacing w:line="360" w:lineRule="auto"/>
              <w:ind w:firstLine="630" w:firstLineChars="300"/>
              <w:rPr>
                <w:color w:val="auto"/>
              </w:rPr>
            </w:pPr>
          </w:p>
        </w:tc>
        <w:tc>
          <w:tcPr>
            <w:tcW w:w="3502" w:type="dxa"/>
            <w:noWrap/>
            <w:tcMar>
              <w:left w:w="57" w:type="dxa"/>
              <w:right w:w="57" w:type="dxa"/>
            </w:tcMar>
            <w:vAlign w:val="center"/>
          </w:tcPr>
          <w:p>
            <w:pPr>
              <w:pStyle w:val="7"/>
              <w:spacing w:line="312" w:lineRule="auto"/>
              <w:jc w:val="center"/>
              <w:rPr>
                <w:rFonts w:hAnsi="宋体"/>
                <w:color w:val="auto"/>
                <w:szCs w:val="21"/>
              </w:rPr>
            </w:pPr>
            <w:r>
              <w:rPr>
                <w:rFonts w:hint="eastAsia" w:hAnsi="宋体"/>
                <w:color w:val="auto"/>
                <w:szCs w:val="21"/>
              </w:rPr>
              <w:t>参加政府采购活动前三年内，在经营活动中没有重大违法记录</w:t>
            </w:r>
          </w:p>
        </w:tc>
        <w:tc>
          <w:tcPr>
            <w:tcW w:w="5025" w:type="dxa"/>
            <w:tcBorders>
              <w:bottom w:val="single" w:color="auto" w:sz="4" w:space="0"/>
            </w:tcBorders>
            <w:noWrap/>
            <w:vAlign w:val="center"/>
          </w:tcPr>
          <w:p>
            <w:pPr>
              <w:spacing w:line="312" w:lineRule="auto"/>
              <w:jc w:val="center"/>
              <w:rPr>
                <w:color w:val="auto"/>
              </w:rPr>
            </w:pPr>
            <w:r>
              <w:rPr>
                <w:rFonts w:hint="eastAsia"/>
                <w:color w:val="auto"/>
              </w:rPr>
              <w:t>书面声明，加盖公章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exact"/>
        </w:trPr>
        <w:tc>
          <w:tcPr>
            <w:tcW w:w="850" w:type="dxa"/>
            <w:vMerge w:val="continue"/>
            <w:noWrap/>
            <w:tcMar>
              <w:left w:w="57" w:type="dxa"/>
              <w:right w:w="57" w:type="dxa"/>
            </w:tcMar>
            <w:vAlign w:val="center"/>
          </w:tcPr>
          <w:p>
            <w:pPr>
              <w:spacing w:line="360" w:lineRule="auto"/>
              <w:ind w:firstLine="630" w:firstLineChars="300"/>
              <w:rPr>
                <w:color w:val="auto"/>
              </w:rPr>
            </w:pPr>
          </w:p>
        </w:tc>
        <w:tc>
          <w:tcPr>
            <w:tcW w:w="3502" w:type="dxa"/>
            <w:noWrap/>
            <w:tcMar>
              <w:left w:w="57" w:type="dxa"/>
              <w:right w:w="57" w:type="dxa"/>
            </w:tcMar>
            <w:vAlign w:val="center"/>
          </w:tcPr>
          <w:p>
            <w:pPr>
              <w:spacing w:line="312" w:lineRule="auto"/>
              <w:jc w:val="center"/>
              <w:rPr>
                <w:color w:val="auto"/>
              </w:rPr>
            </w:pPr>
            <w:r>
              <w:rPr>
                <w:rStyle w:val="13"/>
                <w:rFonts w:hint="eastAsia"/>
                <w:color w:val="auto"/>
              </w:rPr>
              <w:t>信用查询</w:t>
            </w:r>
          </w:p>
        </w:tc>
        <w:tc>
          <w:tcPr>
            <w:tcW w:w="5025" w:type="dxa"/>
            <w:noWrap/>
            <w:vAlign w:val="center"/>
          </w:tcPr>
          <w:p>
            <w:pPr>
              <w:pStyle w:val="9"/>
              <w:shd w:val="clear" w:color="auto" w:fill="FFFFFF"/>
              <w:spacing w:beforeAutospacing="0" w:afterAutospacing="0" w:line="312" w:lineRule="auto"/>
              <w:rPr>
                <w:color w:val="auto"/>
              </w:rPr>
            </w:pPr>
            <w:r>
              <w:rPr>
                <w:rFonts w:hint="eastAsia"/>
                <w:color w:val="auto"/>
                <w:sz w:val="21"/>
                <w:szCs w:val="20"/>
              </w:rPr>
              <w:t>“信用中国”网站（www.creditchina.gov.cn）查询失信被执行人、重大税收违法案件当事人名单；中国政府采购网（www.ccgp.gov.cn）查询政府采购严重违法失信行为记录名单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trPr>
        <w:tc>
          <w:tcPr>
            <w:tcW w:w="850" w:type="dxa"/>
            <w:noWrap/>
            <w:tcMar>
              <w:left w:w="57" w:type="dxa"/>
              <w:right w:w="57" w:type="dxa"/>
            </w:tcMar>
            <w:vAlign w:val="center"/>
          </w:tcPr>
          <w:p>
            <w:pPr>
              <w:spacing w:line="360" w:lineRule="auto"/>
              <w:ind w:firstLine="630" w:firstLineChars="300"/>
              <w:rPr>
                <w:color w:val="auto"/>
              </w:rPr>
            </w:pPr>
          </w:p>
        </w:tc>
        <w:tc>
          <w:tcPr>
            <w:tcW w:w="3502" w:type="dxa"/>
            <w:noWrap/>
            <w:tcMar>
              <w:left w:w="57" w:type="dxa"/>
              <w:right w:w="57" w:type="dxa"/>
            </w:tcMar>
            <w:vAlign w:val="center"/>
          </w:tcPr>
          <w:p>
            <w:pPr>
              <w:spacing w:line="312" w:lineRule="auto"/>
              <w:jc w:val="center"/>
              <w:rPr>
                <w:color w:val="auto"/>
              </w:rPr>
            </w:pPr>
            <w:r>
              <w:rPr>
                <w:rFonts w:hint="eastAsia"/>
                <w:color w:val="auto"/>
              </w:rPr>
              <w:t>单位负责人为同一人或者存在直接控股、管理关系的不同单位，不得参加同一合同项下的政府采购活动</w:t>
            </w:r>
          </w:p>
        </w:tc>
        <w:tc>
          <w:tcPr>
            <w:tcW w:w="5025" w:type="dxa"/>
            <w:noWrap/>
            <w:vAlign w:val="center"/>
          </w:tcPr>
          <w:p>
            <w:pPr>
              <w:pStyle w:val="7"/>
              <w:spacing w:line="312" w:lineRule="auto"/>
              <w:rPr>
                <w:rFonts w:hAnsi="宋体"/>
                <w:color w:val="auto"/>
                <w:szCs w:val="21"/>
              </w:rPr>
            </w:pPr>
            <w:r>
              <w:rPr>
                <w:rFonts w:hint="eastAsia" w:hAnsi="宋体"/>
                <w:color w:val="auto"/>
                <w:szCs w:val="21"/>
              </w:rPr>
              <w:t>提供“国家企业信用信息公示系统”中公示的公司信息、股东（或投资人）信息（网站查询页）</w:t>
            </w:r>
          </w:p>
        </w:tc>
      </w:tr>
      <w:bookmarkEnd w:id="1"/>
    </w:tbl>
    <w:p>
      <w:pPr>
        <w:spacing w:line="360" w:lineRule="auto"/>
        <w:ind w:firstLine="420" w:firstLineChars="200"/>
        <w:rPr>
          <w:color w:val="auto"/>
        </w:rPr>
      </w:pPr>
    </w:p>
    <w:p>
      <w:pPr>
        <w:pStyle w:val="2"/>
      </w:pPr>
    </w:p>
    <w:p>
      <w:pPr>
        <w:spacing w:line="360" w:lineRule="auto"/>
        <w:ind w:firstLine="482" w:firstLineChars="200"/>
        <w:jc w:val="center"/>
        <w:outlineLvl w:val="0"/>
        <w:rPr>
          <w:b/>
          <w:bCs/>
          <w:color w:val="auto"/>
          <w:sz w:val="24"/>
          <w:szCs w:val="24"/>
        </w:rPr>
      </w:pPr>
      <w:bookmarkStart w:id="2" w:name="_Toc7357_WPSOffice_Level2"/>
      <w:r>
        <w:rPr>
          <w:rFonts w:hint="eastAsia"/>
          <w:b/>
          <w:bCs/>
          <w:color w:val="auto"/>
          <w:sz w:val="24"/>
          <w:szCs w:val="24"/>
          <w:lang w:eastAsia="zh-CN"/>
        </w:rPr>
        <w:t>二、</w:t>
      </w:r>
      <w:r>
        <w:rPr>
          <w:rFonts w:hint="eastAsia"/>
          <w:b/>
          <w:bCs/>
          <w:color w:val="auto"/>
          <w:sz w:val="24"/>
          <w:szCs w:val="24"/>
        </w:rPr>
        <w:t>评标办法</w:t>
      </w:r>
    </w:p>
    <w:p>
      <w:pPr>
        <w:spacing w:line="360" w:lineRule="auto"/>
        <w:ind w:firstLine="482" w:firstLineChars="200"/>
        <w:jc w:val="left"/>
        <w:outlineLvl w:val="1"/>
        <w:rPr>
          <w:b/>
          <w:bCs/>
          <w:color w:val="auto"/>
          <w:w w:val="99"/>
          <w:sz w:val="24"/>
          <w:szCs w:val="24"/>
        </w:rPr>
      </w:pPr>
      <w:r>
        <w:rPr>
          <w:rFonts w:hint="eastAsia"/>
          <w:b/>
          <w:bCs/>
          <w:color w:val="auto"/>
          <w:sz w:val="24"/>
          <w:szCs w:val="24"/>
        </w:rPr>
        <w:t>一、评标</w:t>
      </w:r>
      <w:bookmarkEnd w:id="2"/>
      <w:r>
        <w:rPr>
          <w:rFonts w:hint="eastAsia"/>
          <w:b/>
          <w:bCs/>
          <w:color w:val="auto"/>
          <w:sz w:val="24"/>
          <w:szCs w:val="24"/>
        </w:rPr>
        <w:t>标准</w:t>
      </w:r>
      <w:r>
        <w:rPr>
          <w:rFonts w:hint="eastAsia"/>
          <w:b/>
          <w:bCs/>
          <w:color w:val="auto"/>
          <w:w w:val="99"/>
          <w:sz w:val="24"/>
          <w:szCs w:val="24"/>
        </w:rPr>
        <w:t xml:space="preserve"> </w:t>
      </w:r>
    </w:p>
    <w:p>
      <w:pPr>
        <w:spacing w:line="360" w:lineRule="auto"/>
        <w:ind w:firstLine="480" w:firstLineChars="200"/>
        <w:jc w:val="left"/>
        <w:rPr>
          <w:color w:val="auto"/>
          <w:sz w:val="24"/>
          <w:szCs w:val="24"/>
        </w:rPr>
      </w:pPr>
      <w:r>
        <w:rPr>
          <w:rFonts w:hint="eastAsia"/>
          <w:color w:val="auto"/>
          <w:sz w:val="24"/>
          <w:szCs w:val="24"/>
        </w:rPr>
        <w:t>1、本项目采用综合评分法，总分值</w:t>
      </w:r>
      <w:r>
        <w:rPr>
          <w:rFonts w:hint="eastAsia"/>
          <w:color w:val="auto"/>
          <w:spacing w:val="-60"/>
          <w:sz w:val="24"/>
          <w:szCs w:val="24"/>
        </w:rPr>
        <w:t xml:space="preserve"> </w:t>
      </w:r>
      <w:r>
        <w:rPr>
          <w:rFonts w:hint="eastAsia"/>
          <w:color w:val="auto"/>
          <w:sz w:val="24"/>
          <w:szCs w:val="24"/>
        </w:rPr>
        <w:t>100</w:t>
      </w:r>
      <w:r>
        <w:rPr>
          <w:rFonts w:hint="eastAsia"/>
          <w:color w:val="auto"/>
          <w:spacing w:val="-60"/>
          <w:sz w:val="24"/>
          <w:szCs w:val="24"/>
        </w:rPr>
        <w:t xml:space="preserve"> </w:t>
      </w:r>
      <w:r>
        <w:rPr>
          <w:rFonts w:hint="eastAsia"/>
          <w:color w:val="auto"/>
          <w:sz w:val="24"/>
          <w:szCs w:val="24"/>
        </w:rPr>
        <w:t xml:space="preserve">分。 </w:t>
      </w:r>
    </w:p>
    <w:p>
      <w:pPr>
        <w:spacing w:line="360" w:lineRule="auto"/>
        <w:ind w:firstLine="482" w:firstLineChars="200"/>
        <w:jc w:val="left"/>
        <w:outlineLvl w:val="1"/>
        <w:rPr>
          <w:color w:val="auto"/>
          <w:sz w:val="24"/>
          <w:szCs w:val="24"/>
        </w:rPr>
      </w:pPr>
      <w:bookmarkStart w:id="3" w:name="_Toc13305_WPSOffice_Level2"/>
      <w:r>
        <w:rPr>
          <w:rFonts w:hint="eastAsia"/>
          <w:b/>
          <w:bCs/>
          <w:color w:val="auto"/>
          <w:sz w:val="24"/>
          <w:szCs w:val="24"/>
        </w:rPr>
        <w:t>二、评标原则：</w:t>
      </w:r>
      <w:bookmarkEnd w:id="3"/>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1、评标活动遵循公平、公正、科学和择优的原则。</w:t>
      </w:r>
    </w:p>
    <w:p>
      <w:pPr>
        <w:spacing w:line="360" w:lineRule="auto"/>
        <w:ind w:firstLine="480" w:firstLineChars="200"/>
        <w:jc w:val="left"/>
        <w:rPr>
          <w:color w:val="auto"/>
          <w:sz w:val="24"/>
          <w:szCs w:val="24"/>
        </w:rPr>
      </w:pPr>
      <w:r>
        <w:rPr>
          <w:rFonts w:hint="eastAsia"/>
          <w:color w:val="auto"/>
          <w:sz w:val="24"/>
          <w:szCs w:val="24"/>
        </w:rPr>
        <w:t xml:space="preserve">2、对所有供应商的投标评定都采用相同的程序和标准。 </w:t>
      </w:r>
    </w:p>
    <w:p>
      <w:pPr>
        <w:spacing w:line="360" w:lineRule="auto"/>
        <w:ind w:firstLine="482" w:firstLineChars="200"/>
        <w:jc w:val="left"/>
        <w:outlineLvl w:val="1"/>
        <w:rPr>
          <w:color w:val="auto"/>
          <w:sz w:val="24"/>
          <w:szCs w:val="24"/>
        </w:rPr>
      </w:pPr>
      <w:bookmarkStart w:id="4" w:name="_Toc9245_WPSOffice_Level2"/>
      <w:r>
        <w:rPr>
          <w:rFonts w:hint="eastAsia"/>
          <w:b/>
          <w:bCs/>
          <w:color w:val="auto"/>
          <w:sz w:val="24"/>
          <w:szCs w:val="24"/>
        </w:rPr>
        <w:t>三、评标委员会</w:t>
      </w:r>
      <w:bookmarkEnd w:id="4"/>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1、评标由评标委员会负责，评标委员会由河南博物院文保中心、纪检部门、财务处等方面的专家组成，成员人数为</w:t>
      </w:r>
      <w:r>
        <w:rPr>
          <w:rFonts w:hint="eastAsia"/>
          <w:color w:val="auto"/>
          <w:spacing w:val="-89"/>
          <w:sz w:val="24"/>
          <w:szCs w:val="24"/>
        </w:rPr>
        <w:t xml:space="preserve"> </w:t>
      </w:r>
      <w:r>
        <w:rPr>
          <w:rFonts w:hint="eastAsia"/>
          <w:color w:val="auto"/>
          <w:sz w:val="24"/>
          <w:szCs w:val="24"/>
        </w:rPr>
        <w:t>5</w:t>
      </w:r>
      <w:r>
        <w:rPr>
          <w:rFonts w:hint="eastAsia"/>
          <w:color w:val="auto"/>
          <w:spacing w:val="-89"/>
          <w:sz w:val="24"/>
          <w:szCs w:val="24"/>
        </w:rPr>
        <w:t xml:space="preserve"> </w:t>
      </w:r>
      <w:r>
        <w:rPr>
          <w:rFonts w:hint="eastAsia"/>
          <w:color w:val="auto"/>
          <w:sz w:val="24"/>
          <w:szCs w:val="24"/>
        </w:rPr>
        <w:t>人。其中技术、经济等方面的专家不少于成员总数</w:t>
      </w:r>
      <w:r>
        <w:rPr>
          <w:rFonts w:hint="eastAsia"/>
          <w:color w:val="auto"/>
          <w:spacing w:val="-2"/>
          <w:sz w:val="24"/>
          <w:szCs w:val="24"/>
        </w:rPr>
        <w:t>的三分之二。有关</w:t>
      </w:r>
      <w:r>
        <w:rPr>
          <w:rFonts w:hint="eastAsia"/>
          <w:color w:val="auto"/>
          <w:spacing w:val="-106"/>
          <w:sz w:val="24"/>
          <w:szCs w:val="24"/>
        </w:rPr>
        <w:t xml:space="preserve"> </w:t>
      </w:r>
      <w:r>
        <w:rPr>
          <w:rFonts w:hint="eastAsia"/>
          <w:color w:val="auto"/>
          <w:sz w:val="24"/>
          <w:szCs w:val="24"/>
        </w:rPr>
        <w:t>人员对评标委员会成员名单必须严格保密。</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2、与供应商有利害关系的人员不得进入评标委员会；</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3、招标采购单位就招标文件征询过意见的专家，不得再作为评标专家参加评标。</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4、评委按招标文件要求对所有投标文件进行符合性审查、综合比较和评价，独立评</w:t>
      </w:r>
      <w:r>
        <w:rPr>
          <w:rFonts w:hint="eastAsia"/>
          <w:color w:val="auto"/>
          <w:spacing w:val="-4"/>
          <w:sz w:val="24"/>
          <w:szCs w:val="24"/>
        </w:rPr>
        <w:t>审。</w:t>
      </w:r>
    </w:p>
    <w:p>
      <w:pPr>
        <w:pStyle w:val="3"/>
        <w:spacing w:after="0" w:line="360" w:lineRule="auto"/>
        <w:ind w:left="0" w:leftChars="0" w:right="0" w:rightChars="0" w:firstLine="482" w:firstLineChars="200"/>
        <w:jc w:val="left"/>
        <w:outlineLvl w:val="1"/>
        <w:rPr>
          <w:b/>
          <w:bCs/>
          <w:color w:val="auto"/>
          <w:sz w:val="24"/>
          <w:szCs w:val="24"/>
        </w:rPr>
      </w:pPr>
      <w:bookmarkStart w:id="5" w:name="_Toc23693_WPSOffice_Level2"/>
      <w:r>
        <w:rPr>
          <w:rFonts w:hint="eastAsia"/>
          <w:b/>
          <w:bCs/>
          <w:color w:val="auto"/>
          <w:sz w:val="24"/>
          <w:szCs w:val="24"/>
        </w:rPr>
        <w:t>四、评标纪律</w:t>
      </w:r>
      <w:bookmarkEnd w:id="5"/>
    </w:p>
    <w:p>
      <w:pPr>
        <w:pStyle w:val="3"/>
        <w:spacing w:after="0" w:line="360" w:lineRule="auto"/>
        <w:ind w:left="0" w:leftChars="0" w:right="0" w:rightChars="0" w:firstLine="476" w:firstLineChars="200"/>
        <w:jc w:val="left"/>
        <w:rPr>
          <w:color w:val="auto"/>
          <w:sz w:val="24"/>
          <w:szCs w:val="24"/>
        </w:rPr>
      </w:pPr>
      <w:r>
        <w:rPr>
          <w:rFonts w:hint="eastAsia"/>
          <w:b/>
          <w:bCs/>
          <w:color w:val="auto"/>
          <w:w w:val="99"/>
          <w:sz w:val="24"/>
          <w:szCs w:val="24"/>
        </w:rPr>
        <w:t xml:space="preserve"> </w:t>
      </w:r>
      <w:r>
        <w:rPr>
          <w:rFonts w:hint="eastAsia"/>
          <w:color w:val="auto"/>
          <w:sz w:val="24"/>
          <w:szCs w:val="24"/>
        </w:rPr>
        <w:t xml:space="preserve">1、评标委员会成员应当客观、公正地履行职责，遵守职业道德，对所提出的评审意见承担个人责任。 </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 xml:space="preserve">2、评标委员会成员不得向他人透漏对投标文件的评审和比较、中标候选人的推荐情况以及评标有关的其他情况。 </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3、在评标活动中，评标委员会成员不得擅离职守，影响评标程序正常进行。</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4、评标委员会应当根据招标文件规定的评标标准和方法，对投标文件进行系统地评 审和比较。招标文件中没有规定的标准和方法不得作为评标的依据。</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5、在评标活动中，评标委员会成员不得与任何供应商或者与招标结果有利害关系的 人进行私下接触，不得收受供应商、中介人、其他利害关系人的财物或者其他好处。</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6、与供应商有利害关系的应主动回避。</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7、参加评标的人员应严格遵守国家有关保密的法律、法规和规定，并接受有关部门的监督；</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8、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9、遵守法律、行政法规有关评标的相关规定。</w:t>
      </w:r>
    </w:p>
    <w:p>
      <w:pPr>
        <w:pStyle w:val="3"/>
        <w:spacing w:after="0" w:line="360" w:lineRule="auto"/>
        <w:ind w:left="0" w:leftChars="0" w:right="0" w:rightChars="0" w:firstLine="482" w:firstLineChars="200"/>
        <w:jc w:val="left"/>
        <w:outlineLvl w:val="1"/>
        <w:rPr>
          <w:b/>
          <w:bCs/>
          <w:color w:val="auto"/>
          <w:sz w:val="24"/>
          <w:szCs w:val="24"/>
        </w:rPr>
      </w:pPr>
      <w:bookmarkStart w:id="6" w:name="_Toc290_WPSOffice_Level2"/>
      <w:r>
        <w:rPr>
          <w:rFonts w:hint="eastAsia"/>
          <w:b/>
          <w:bCs/>
          <w:color w:val="auto"/>
          <w:sz w:val="24"/>
          <w:szCs w:val="24"/>
        </w:rPr>
        <w:t>五、评标程序</w:t>
      </w:r>
      <w:bookmarkEnd w:id="6"/>
    </w:p>
    <w:p>
      <w:pPr>
        <w:spacing w:before="0" w:beforeLines="50" w:afterLines="50"/>
        <w:ind w:firstLine="482" w:firstLineChars="200"/>
        <w:jc w:val="left"/>
        <w:outlineLvl w:val="9"/>
        <w:rPr>
          <w:rFonts w:hint="eastAsia"/>
          <w:b/>
          <w:bCs/>
          <w:color w:val="auto"/>
          <w:sz w:val="24"/>
          <w:szCs w:val="24"/>
        </w:rPr>
      </w:pPr>
      <w:r>
        <w:rPr>
          <w:rFonts w:hint="eastAsia"/>
          <w:b/>
          <w:bCs/>
          <w:color w:val="auto"/>
          <w:sz w:val="24"/>
          <w:szCs w:val="24"/>
        </w:rPr>
        <w:t xml:space="preserve">1、符合性审查 </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评标委员会对通过资格审查的供应商的投标文件进行符合性审查，以确定其是否满足招标文件的实质性要求。</w:t>
      </w:r>
    </w:p>
    <w:p>
      <w:pPr>
        <w:spacing w:before="0" w:beforeLines="50" w:afterLines="50"/>
        <w:ind w:firstLine="482" w:firstLineChars="200"/>
        <w:outlineLvl w:val="9"/>
        <w:rPr>
          <w:b/>
          <w:bCs/>
          <w:color w:val="auto"/>
          <w:sz w:val="24"/>
          <w:szCs w:val="24"/>
        </w:rPr>
      </w:pPr>
      <w:r>
        <w:rPr>
          <w:rFonts w:hint="eastAsia"/>
          <w:b/>
          <w:bCs/>
          <w:color w:val="auto"/>
          <w:sz w:val="24"/>
          <w:szCs w:val="24"/>
        </w:rPr>
        <w:t>2、澄清有关问题</w:t>
      </w:r>
    </w:p>
    <w:p>
      <w:pPr>
        <w:pStyle w:val="3"/>
        <w:spacing w:after="0" w:afterLines="50" w:line="360" w:lineRule="auto"/>
        <w:ind w:left="0" w:leftChars="0" w:right="0" w:rightChars="0" w:firstLine="480" w:firstLineChars="200"/>
        <w:jc w:val="left"/>
        <w:rPr>
          <w:color w:val="auto"/>
          <w:sz w:val="24"/>
          <w:szCs w:val="24"/>
        </w:rPr>
      </w:pPr>
      <w:r>
        <w:rPr>
          <w:rFonts w:hint="eastAsia"/>
          <w:color w:val="auto"/>
          <w:sz w:val="24"/>
          <w:szCs w:val="24"/>
        </w:rPr>
        <w:t>2.1 对于投标文件中含义不明确、同类问题表述不一致或者有明显文字和计算错误的 内容，评标委员会应当以书面形式要求供应商作出必要的澄清、说明或者补正。</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2.2 供应商的澄清、说明或者补正应当采用书面形式，并由法定代表人或其授权的代 表签字。供应商的澄清、说明或者补正不得超出投标文件的范围或者改变投标文件的实质 性内容。</w:t>
      </w:r>
    </w:p>
    <w:p>
      <w:pPr>
        <w:spacing w:before="0" w:beforeLines="50" w:afterLines="50"/>
        <w:ind w:firstLine="482" w:firstLineChars="200"/>
        <w:outlineLvl w:val="9"/>
        <w:rPr>
          <w:b/>
          <w:bCs/>
          <w:color w:val="auto"/>
          <w:sz w:val="24"/>
          <w:szCs w:val="24"/>
        </w:rPr>
      </w:pPr>
      <w:r>
        <w:rPr>
          <w:rFonts w:hint="eastAsia"/>
          <w:b/>
          <w:bCs/>
          <w:color w:val="auto"/>
          <w:sz w:val="24"/>
          <w:szCs w:val="24"/>
        </w:rPr>
        <w:t>3、综合比较与评价</w:t>
      </w:r>
    </w:p>
    <w:p>
      <w:pPr>
        <w:pStyle w:val="3"/>
        <w:spacing w:after="0" w:afterLines="50" w:line="360" w:lineRule="auto"/>
        <w:ind w:left="0" w:leftChars="0" w:right="0" w:rightChars="0" w:firstLine="480" w:firstLineChars="200"/>
        <w:jc w:val="left"/>
        <w:rPr>
          <w:color w:val="auto"/>
          <w:sz w:val="24"/>
          <w:szCs w:val="24"/>
        </w:rPr>
      </w:pPr>
      <w:r>
        <w:rPr>
          <w:rFonts w:hint="eastAsia"/>
          <w:color w:val="auto"/>
          <w:sz w:val="24"/>
          <w:szCs w:val="24"/>
        </w:rPr>
        <w:t>3.1 评标委员会按照招标文件中规定的评标方法和标准，对符合性审查合格的投标文 件进行商务和技术评估，综合比较与评价。</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3.2 投标文件报价出现前后不一致的，按照下列规定修正：</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（1）投标文件中开标一览表（报价表）内容与投标文件中相应内容不一致的，以开标一览表（报价表）为准；</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（2）大写金额和小写金额不一致的，以大写金额为准；</w:t>
      </w:r>
    </w:p>
    <w:p>
      <w:pPr>
        <w:pStyle w:val="3"/>
        <w:spacing w:after="0" w:line="360" w:lineRule="auto"/>
        <w:ind w:left="0" w:leftChars="0" w:right="0" w:rightChars="0" w:firstLine="420" w:firstLineChars="175"/>
        <w:jc w:val="left"/>
        <w:rPr>
          <w:color w:val="auto"/>
          <w:sz w:val="24"/>
          <w:szCs w:val="24"/>
        </w:rPr>
      </w:pPr>
      <w:r>
        <w:rPr>
          <w:rFonts w:hint="eastAsia"/>
          <w:color w:val="auto"/>
          <w:sz w:val="24"/>
          <w:szCs w:val="24"/>
        </w:rPr>
        <w:t>（3）单价金额小数点或者百分比有明显错位的，以开标一览表的总价为准，并修改单价；</w:t>
      </w:r>
    </w:p>
    <w:p>
      <w:pPr>
        <w:pStyle w:val="3"/>
        <w:spacing w:after="0" w:line="360" w:lineRule="auto"/>
        <w:ind w:left="0" w:leftChars="0" w:right="0" w:rightChars="0" w:firstLine="420" w:firstLineChars="175"/>
        <w:jc w:val="left"/>
        <w:rPr>
          <w:color w:val="auto"/>
          <w:sz w:val="24"/>
          <w:szCs w:val="24"/>
        </w:rPr>
      </w:pPr>
      <w:r>
        <w:rPr>
          <w:rFonts w:hint="eastAsia"/>
          <w:color w:val="auto"/>
          <w:sz w:val="24"/>
          <w:szCs w:val="24"/>
        </w:rPr>
        <w:t>（4）总价金额与按单价汇总金额不一致的，以单价金额计算结果为准。同时出现两种以上不一致的，按照前款规定的顺序修正。修正后的报价经供应商确认后产生约束力，供应商不确认的，其投标无效。</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3.3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
        <w:spacing w:after="0" w:line="360" w:lineRule="auto"/>
        <w:ind w:left="0" w:leftChars="0" w:right="0" w:rightChars="0" w:firstLine="480" w:firstLineChars="200"/>
        <w:jc w:val="left"/>
        <w:rPr>
          <w:rFonts w:hint="eastAsia"/>
          <w:color w:val="auto"/>
          <w:sz w:val="24"/>
          <w:szCs w:val="24"/>
        </w:rPr>
      </w:pPr>
      <w:r>
        <w:rPr>
          <w:rFonts w:hint="eastAsia"/>
          <w:color w:val="auto"/>
          <w:sz w:val="24"/>
          <w:szCs w:val="24"/>
        </w:rPr>
        <w:t>3.4 核心产品技术指标应有</w:t>
      </w:r>
      <w:r>
        <w:rPr>
          <w:rFonts w:hint="eastAsia"/>
          <w:color w:val="auto"/>
          <w:sz w:val="24"/>
          <w:szCs w:val="24"/>
          <w:lang w:val="en-US" w:eastAsia="zh-CN"/>
        </w:rPr>
        <w:t>两</w:t>
      </w:r>
      <w:r>
        <w:rPr>
          <w:rFonts w:hint="eastAsia"/>
          <w:color w:val="auto"/>
          <w:sz w:val="24"/>
          <w:szCs w:val="24"/>
        </w:rPr>
        <w:t>个品牌及以上供应商可以满足，否则不再推荐中标候选人；</w:t>
      </w:r>
    </w:p>
    <w:p>
      <w:pPr>
        <w:pStyle w:val="3"/>
        <w:spacing w:after="0" w:line="360" w:lineRule="auto"/>
        <w:ind w:left="0" w:leftChars="0" w:right="0" w:rightChars="0" w:firstLine="480" w:firstLineChars="200"/>
        <w:jc w:val="left"/>
        <w:rPr>
          <w:color w:val="auto"/>
          <w:sz w:val="24"/>
          <w:szCs w:val="24"/>
        </w:rPr>
      </w:pPr>
      <w:r>
        <w:rPr>
          <w:color w:val="auto"/>
          <w:sz w:val="24"/>
          <w:szCs w:val="24"/>
        </w:rPr>
        <w:t>提供相同品牌产品且通过资格审查、符合性审查的不同</w:t>
      </w:r>
      <w:r>
        <w:rPr>
          <w:rFonts w:hint="eastAsia"/>
          <w:color w:val="auto"/>
          <w:sz w:val="24"/>
          <w:szCs w:val="24"/>
        </w:rPr>
        <w:t>供应商</w:t>
      </w:r>
      <w:r>
        <w:rPr>
          <w:color w:val="auto"/>
          <w:sz w:val="24"/>
          <w:szCs w:val="24"/>
        </w:rPr>
        <w:t>参加同一合同项下投标的，按一家</w:t>
      </w:r>
      <w:r>
        <w:rPr>
          <w:rFonts w:hint="eastAsia"/>
          <w:color w:val="auto"/>
          <w:sz w:val="24"/>
          <w:szCs w:val="24"/>
        </w:rPr>
        <w:t>供应商</w:t>
      </w:r>
      <w:r>
        <w:rPr>
          <w:color w:val="auto"/>
          <w:sz w:val="24"/>
          <w:szCs w:val="24"/>
        </w:rPr>
        <w:t>计算，评审后得分最高的同品牌</w:t>
      </w:r>
      <w:r>
        <w:rPr>
          <w:rFonts w:hint="eastAsia"/>
          <w:color w:val="auto"/>
          <w:sz w:val="24"/>
          <w:szCs w:val="24"/>
        </w:rPr>
        <w:t>供应商</w:t>
      </w:r>
      <w:r>
        <w:rPr>
          <w:color w:val="auto"/>
          <w:sz w:val="24"/>
          <w:szCs w:val="24"/>
        </w:rPr>
        <w:t>获得中标人推荐资格；评审得分相同的，由采购人或者采购人委托评标委员会按照招标文件规定的方式确定一个</w:t>
      </w:r>
      <w:r>
        <w:rPr>
          <w:rFonts w:hint="eastAsia"/>
          <w:color w:val="auto"/>
          <w:sz w:val="24"/>
          <w:szCs w:val="24"/>
        </w:rPr>
        <w:t>供应商</w:t>
      </w:r>
      <w:r>
        <w:rPr>
          <w:color w:val="auto"/>
          <w:sz w:val="24"/>
          <w:szCs w:val="24"/>
        </w:rPr>
        <w:t>获得中标人推荐资格，招标文件未规定的采取随机抽取方式确定，其他同品牌</w:t>
      </w:r>
      <w:r>
        <w:rPr>
          <w:rFonts w:hint="eastAsia"/>
          <w:color w:val="auto"/>
          <w:sz w:val="24"/>
          <w:szCs w:val="24"/>
        </w:rPr>
        <w:t>供应商</w:t>
      </w:r>
      <w:r>
        <w:rPr>
          <w:color w:val="auto"/>
          <w:sz w:val="24"/>
          <w:szCs w:val="24"/>
        </w:rPr>
        <w:t>不作为中标候选人。</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3.5 本项目落实中小微型企业扶持等相关政府采购政策。</w:t>
      </w:r>
    </w:p>
    <w:p>
      <w:pPr>
        <w:pStyle w:val="3"/>
        <w:spacing w:after="0" w:line="360" w:lineRule="auto"/>
        <w:ind w:right="0" w:rightChars="0" w:firstLine="480" w:firstLineChars="200"/>
        <w:jc w:val="left"/>
        <w:rPr>
          <w:color w:val="auto"/>
        </w:rPr>
      </w:pPr>
      <w:r>
        <w:rPr>
          <w:rFonts w:hint="eastAsia"/>
          <w:color w:val="auto"/>
          <w:sz w:val="24"/>
          <w:szCs w:val="24"/>
        </w:rPr>
        <w:t>对于非专门面向中小企业的项目，对小型和微型企业产品的价格给予6%的扣除，用扣除后的价格参与评审，评标价不作为成交价和合同签约价，成交价和合同签约价仍以 其投标文件中的报价为准。监狱企业视同小型、微型企业，中小微企业产品和监狱企业产品只给予一次价格扣除，不重复给予价格扣除。残疾人福利性单位视同小型、微型企业。</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3.6 评标时，评标委员会各成员应当独立对每个供应商的投标文件进行评价，并汇总每个供应商的得分。</w:t>
      </w:r>
    </w:p>
    <w:p>
      <w:pPr>
        <w:spacing w:beforeLines="50" w:afterLines="50"/>
        <w:ind w:firstLine="482" w:firstLineChars="200"/>
        <w:jc w:val="left"/>
        <w:outlineLvl w:val="9"/>
        <w:rPr>
          <w:b/>
          <w:bCs/>
          <w:color w:val="auto"/>
          <w:sz w:val="24"/>
          <w:szCs w:val="24"/>
        </w:rPr>
      </w:pPr>
      <w:r>
        <w:rPr>
          <w:rFonts w:hint="eastAsia"/>
          <w:b/>
          <w:bCs/>
          <w:color w:val="auto"/>
          <w:sz w:val="24"/>
          <w:szCs w:val="24"/>
        </w:rPr>
        <w:t>4、评标结果</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4.1 采用综合评分法的，评标结果按评审后得分由高到低顺序排列。得分相同的，按投标报价由低到高顺序排列。得分与投标报价均相同的，按技术方案指标优劣排列。投标文件满足招标文件全部实质性要求，且按照评审因素的量化指标评审得分最高的供应商为排名第一的中标候选人。</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4.2 供应商的评审得分为所有评委评审得分的算术平均值，评审得分取至小数点后两位（第三位四舍五入）。</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4.3 推荐中标候选人名单。按评标委员会评审后得分由高到低顺序排列，推荐排名在 前且不超过三名的中标候选人。</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4.4 评标委员会完成评标后，应当向采购人提交书面评标报告。</w:t>
      </w:r>
    </w:p>
    <w:p>
      <w:pPr>
        <w:pStyle w:val="3"/>
        <w:spacing w:after="0" w:line="360" w:lineRule="auto"/>
        <w:ind w:left="0" w:leftChars="0" w:right="0" w:rightChars="0" w:firstLine="480" w:firstLineChars="200"/>
        <w:jc w:val="left"/>
        <w:rPr>
          <w:color w:val="auto"/>
          <w:sz w:val="24"/>
          <w:szCs w:val="24"/>
        </w:rPr>
      </w:pPr>
      <w:r>
        <w:rPr>
          <w:rFonts w:hint="eastAsia"/>
          <w:color w:val="auto"/>
          <w:sz w:val="24"/>
          <w:szCs w:val="24"/>
        </w:rPr>
        <w:t>4.5 评标委员会成员对需要共同认定的事项存在争议的，应当按照少数服从多数的原 则作出结论。持不同意见的评标委员会成员应当在评标报告上签署不同意见及理由，否则 视为同意评标报告。</w:t>
      </w:r>
    </w:p>
    <w:p>
      <w:pPr>
        <w:rPr>
          <w:color w:val="auto"/>
        </w:rPr>
      </w:pPr>
      <w:r>
        <w:rPr>
          <w:rFonts w:hint="eastAsia"/>
          <w:color w:val="auto"/>
        </w:rPr>
        <w:br w:type="page"/>
      </w:r>
    </w:p>
    <w:p>
      <w:pPr>
        <w:pStyle w:val="5"/>
        <w:jc w:val="center"/>
        <w:outlineLvl w:val="1"/>
        <w:rPr>
          <w:color w:val="auto"/>
        </w:rPr>
      </w:pPr>
      <w:bookmarkStart w:id="7" w:name="_Toc1717_WPSOffice_Level2"/>
      <w:r>
        <w:rPr>
          <w:rFonts w:hint="eastAsia"/>
          <w:color w:val="auto"/>
          <w:lang w:eastAsia="zh-CN"/>
        </w:rPr>
        <w:t>六</w:t>
      </w:r>
      <w:r>
        <w:rPr>
          <w:rFonts w:hint="eastAsia"/>
          <w:color w:val="auto"/>
        </w:rPr>
        <w:t>、评分办法</w:t>
      </w:r>
      <w:bookmarkEnd w:id="7"/>
    </w:p>
    <w:tbl>
      <w:tblPr>
        <w:tblStyle w:val="11"/>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076"/>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11" w:type="pct"/>
            <w:gridSpan w:val="2"/>
            <w:vAlign w:val="center"/>
          </w:tcPr>
          <w:p>
            <w:pPr>
              <w:jc w:val="center"/>
              <w:rPr>
                <w:color w:val="auto"/>
              </w:rPr>
            </w:pPr>
            <w:r>
              <w:rPr>
                <w:rFonts w:hint="eastAsia"/>
                <w:b/>
                <w:color w:val="auto"/>
              </w:rPr>
              <w:t>评审条款</w:t>
            </w:r>
          </w:p>
        </w:tc>
        <w:tc>
          <w:tcPr>
            <w:tcW w:w="3888" w:type="pct"/>
            <w:vAlign w:val="center"/>
          </w:tcPr>
          <w:p>
            <w:pPr>
              <w:jc w:val="center"/>
              <w:rPr>
                <w:color w:val="auto"/>
              </w:rPr>
            </w:pPr>
            <w:r>
              <w:rPr>
                <w:rFonts w:hint="eastAsia"/>
                <w:b/>
                <w:color w:val="auto"/>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1111" w:type="pct"/>
            <w:gridSpan w:val="2"/>
            <w:vAlign w:val="center"/>
          </w:tcPr>
          <w:p>
            <w:pPr>
              <w:widowControl/>
              <w:spacing w:line="336" w:lineRule="auto"/>
              <w:contextualSpacing/>
              <w:jc w:val="center"/>
              <w:rPr>
                <w:color w:val="auto"/>
              </w:rPr>
            </w:pPr>
            <w:r>
              <w:rPr>
                <w:rFonts w:hint="eastAsia"/>
                <w:color w:val="auto"/>
              </w:rPr>
              <w:t>投标报价（</w:t>
            </w:r>
            <w:r>
              <w:rPr>
                <w:rFonts w:hint="eastAsia"/>
                <w:color w:val="auto"/>
                <w:lang w:val="en-US" w:eastAsia="zh-CN"/>
              </w:rPr>
              <w:t>3</w:t>
            </w:r>
            <w:r>
              <w:rPr>
                <w:rFonts w:hint="eastAsia"/>
                <w:color w:val="auto"/>
              </w:rPr>
              <w:t>0分）</w:t>
            </w:r>
          </w:p>
        </w:tc>
        <w:tc>
          <w:tcPr>
            <w:tcW w:w="3888" w:type="pct"/>
            <w:vAlign w:val="bottom"/>
          </w:tcPr>
          <w:p>
            <w:pPr>
              <w:pStyle w:val="14"/>
              <w:autoSpaceDE/>
              <w:autoSpaceDN/>
              <w:adjustRightInd/>
              <w:spacing w:line="360" w:lineRule="auto"/>
              <w:jc w:val="both"/>
              <w:rPr>
                <w:color w:val="auto"/>
                <w:sz w:val="21"/>
                <w:szCs w:val="22"/>
              </w:rPr>
            </w:pPr>
            <w:r>
              <w:rPr>
                <w:rFonts w:hint="eastAsia"/>
                <w:color w:val="auto"/>
                <w:sz w:val="21"/>
                <w:szCs w:val="22"/>
              </w:rPr>
              <w:t xml:space="preserve">（1）价格分采用低价优先法计算，即通过资格和符合性审查且投标价格最低的投标报价为评标基准价，其价格得分为满分 </w:t>
            </w:r>
            <w:r>
              <w:rPr>
                <w:rFonts w:hint="eastAsia"/>
                <w:color w:val="auto"/>
                <w:sz w:val="21"/>
                <w:szCs w:val="22"/>
                <w:lang w:val="en-US" w:eastAsia="zh-CN"/>
              </w:rPr>
              <w:t>3</w:t>
            </w:r>
            <w:r>
              <w:rPr>
                <w:rFonts w:hint="eastAsia"/>
                <w:color w:val="auto"/>
                <w:sz w:val="21"/>
                <w:szCs w:val="22"/>
              </w:rPr>
              <w:t>0 分。</w:t>
            </w:r>
          </w:p>
          <w:p>
            <w:pPr>
              <w:pStyle w:val="14"/>
              <w:autoSpaceDE/>
              <w:autoSpaceDN/>
              <w:adjustRightInd/>
              <w:spacing w:line="360" w:lineRule="auto"/>
              <w:jc w:val="both"/>
              <w:rPr>
                <w:color w:val="auto"/>
                <w:sz w:val="21"/>
                <w:szCs w:val="22"/>
              </w:rPr>
            </w:pPr>
            <w:r>
              <w:rPr>
                <w:rFonts w:hint="eastAsia"/>
                <w:color w:val="auto"/>
                <w:sz w:val="21"/>
                <w:szCs w:val="22"/>
              </w:rPr>
              <w:t>（2）其他投标人的价格分统一按照下列公式计算：</w:t>
            </w:r>
          </w:p>
          <w:p>
            <w:pPr>
              <w:pStyle w:val="14"/>
              <w:autoSpaceDE/>
              <w:autoSpaceDN/>
              <w:adjustRightInd/>
              <w:spacing w:line="360" w:lineRule="auto"/>
              <w:jc w:val="both"/>
              <w:rPr>
                <w:color w:val="auto"/>
                <w:sz w:val="21"/>
                <w:szCs w:val="22"/>
              </w:rPr>
            </w:pPr>
            <w:r>
              <w:rPr>
                <w:rFonts w:hint="eastAsia"/>
                <w:color w:val="auto"/>
                <w:sz w:val="21"/>
                <w:szCs w:val="22"/>
              </w:rPr>
              <w:t>投标报价得分=(评标基准价／投标报价)×</w:t>
            </w:r>
            <w:r>
              <w:rPr>
                <w:rFonts w:hint="eastAsia"/>
                <w:color w:val="auto"/>
                <w:sz w:val="21"/>
                <w:szCs w:val="22"/>
                <w:lang w:val="en-US" w:eastAsia="zh-CN"/>
              </w:rPr>
              <w:t>3</w:t>
            </w:r>
            <w:r>
              <w:rPr>
                <w:rFonts w:hint="eastAsia"/>
                <w:color w:val="auto"/>
                <w:sz w:val="21"/>
                <w:szCs w:val="22"/>
              </w:rPr>
              <w:t>0</w:t>
            </w:r>
          </w:p>
          <w:p>
            <w:pPr>
              <w:pStyle w:val="14"/>
              <w:tabs>
                <w:tab w:val="center" w:pos="3955"/>
              </w:tabs>
              <w:autoSpaceDE/>
              <w:autoSpaceDN/>
              <w:adjustRightInd/>
              <w:spacing w:line="360" w:lineRule="auto"/>
              <w:jc w:val="both"/>
              <w:rPr>
                <w:rFonts w:hint="eastAsia" w:eastAsia="宋体"/>
                <w:color w:val="auto"/>
                <w:sz w:val="21"/>
                <w:szCs w:val="22"/>
                <w:lang w:eastAsia="zh-CN"/>
              </w:rPr>
            </w:pPr>
            <w:r>
              <w:rPr>
                <w:rFonts w:hint="eastAsia"/>
                <w:color w:val="auto"/>
                <w:sz w:val="21"/>
                <w:szCs w:val="22"/>
              </w:rPr>
              <w:t>注：（1）价格分计算保留小数点后两位。</w:t>
            </w:r>
            <w:r>
              <w:rPr>
                <w:rFonts w:hint="eastAsia"/>
                <w:color w:val="auto"/>
                <w:sz w:val="21"/>
                <w:szCs w:val="22"/>
                <w:lang w:eastAsia="zh-CN"/>
              </w:rPr>
              <w:tab/>
            </w:r>
          </w:p>
          <w:p>
            <w:pPr>
              <w:pStyle w:val="14"/>
              <w:autoSpaceDE/>
              <w:autoSpaceDN/>
              <w:adjustRightInd/>
              <w:spacing w:line="360" w:lineRule="auto"/>
              <w:ind w:firstLine="420" w:firstLineChars="200"/>
              <w:jc w:val="both"/>
              <w:rPr>
                <w:color w:val="auto"/>
              </w:rPr>
            </w:pPr>
            <w:r>
              <w:rPr>
                <w:rFonts w:hint="eastAsia"/>
                <w:color w:val="auto"/>
                <w:sz w:val="21"/>
                <w:szCs w:val="22"/>
              </w:rPr>
              <w:t>（2）价格扣除政策详见</w:t>
            </w:r>
            <w:r>
              <w:rPr>
                <w:rFonts w:hint="eastAsia"/>
                <w:color w:val="auto"/>
                <w:sz w:val="21"/>
                <w:szCs w:val="22"/>
                <w:lang w:val="en-US" w:eastAsia="zh-CN"/>
              </w:rPr>
              <w:t>评标办法3.5项</w:t>
            </w:r>
            <w:r>
              <w:rPr>
                <w:rFonts w:hint="eastAsia"/>
                <w:color w:val="auto"/>
                <w:sz w:val="21"/>
                <w:szCs w:val="22"/>
              </w:rPr>
              <w:t>本项目落实中小微型企业扶持等相关政府采购政策。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97" w:type="pct"/>
            <w:vMerge w:val="restart"/>
            <w:vAlign w:val="center"/>
          </w:tcPr>
          <w:p>
            <w:pPr>
              <w:jc w:val="center"/>
              <w:rPr>
                <w:rFonts w:hint="eastAsia"/>
                <w:color w:val="auto"/>
              </w:rPr>
            </w:pPr>
            <w:r>
              <w:rPr>
                <w:rFonts w:hint="eastAsia"/>
                <w:color w:val="auto"/>
              </w:rPr>
              <w:t>技术</w:t>
            </w:r>
          </w:p>
          <w:p>
            <w:pPr>
              <w:jc w:val="center"/>
              <w:rPr>
                <w:color w:val="auto"/>
              </w:rPr>
            </w:pPr>
            <w:r>
              <w:rPr>
                <w:rFonts w:hint="eastAsia"/>
                <w:color w:val="auto"/>
              </w:rPr>
              <w:t>部分</w:t>
            </w:r>
          </w:p>
          <w:p>
            <w:pPr>
              <w:pStyle w:val="8"/>
              <w:widowControl/>
              <w:jc w:val="center"/>
              <w:rPr>
                <w:color w:val="auto"/>
              </w:rPr>
            </w:pPr>
            <w:r>
              <w:rPr>
                <w:color w:val="auto"/>
                <w:kern w:val="0"/>
                <w:sz w:val="20"/>
                <w:szCs w:val="20"/>
              </w:rPr>
              <w:t>4</w:t>
            </w:r>
            <w:r>
              <w:rPr>
                <w:rFonts w:hint="eastAsia"/>
                <w:color w:val="auto"/>
                <w:kern w:val="0"/>
                <w:sz w:val="20"/>
                <w:szCs w:val="20"/>
                <w:lang w:val="en-US" w:eastAsia="zh-CN"/>
              </w:rPr>
              <w:t>5</w:t>
            </w:r>
            <w:r>
              <w:rPr>
                <w:rFonts w:hint="eastAsia"/>
                <w:color w:val="auto"/>
                <w:kern w:val="0"/>
                <w:sz w:val="20"/>
                <w:szCs w:val="20"/>
              </w:rPr>
              <w:t>分</w:t>
            </w:r>
          </w:p>
          <w:p>
            <w:pPr>
              <w:widowControl/>
              <w:jc w:val="center"/>
              <w:rPr>
                <w:color w:val="auto"/>
              </w:rPr>
            </w:pPr>
          </w:p>
        </w:tc>
        <w:tc>
          <w:tcPr>
            <w:tcW w:w="614" w:type="pct"/>
            <w:vAlign w:val="bottom"/>
          </w:tcPr>
          <w:p>
            <w:pPr>
              <w:pStyle w:val="9"/>
              <w:widowControl/>
              <w:topLinePunct w:val="0"/>
              <w:spacing w:beforeAutospacing="0" w:afterAutospacing="0" w:line="336" w:lineRule="auto"/>
              <w:jc w:val="center"/>
              <w:rPr>
                <w:color w:val="auto"/>
                <w:kern w:val="2"/>
                <w:sz w:val="21"/>
              </w:rPr>
            </w:pPr>
            <w:r>
              <w:rPr>
                <w:rFonts w:hint="eastAsia"/>
                <w:color w:val="auto"/>
                <w:kern w:val="2"/>
                <w:sz w:val="21"/>
              </w:rPr>
              <w:t>技术参数</w:t>
            </w:r>
          </w:p>
          <w:p>
            <w:pPr>
              <w:jc w:val="center"/>
              <w:rPr>
                <w:color w:val="auto"/>
              </w:rPr>
            </w:pPr>
            <w:r>
              <w:rPr>
                <w:rFonts w:hint="eastAsia"/>
                <w:color w:val="auto"/>
                <w:kern w:val="2"/>
                <w:sz w:val="21"/>
                <w:lang w:val="en-US" w:eastAsia="zh-CN"/>
              </w:rPr>
              <w:t>40</w:t>
            </w:r>
            <w:r>
              <w:rPr>
                <w:rFonts w:hint="eastAsia"/>
                <w:color w:val="auto"/>
                <w:kern w:val="2"/>
                <w:sz w:val="21"/>
              </w:rPr>
              <w:t>分</w:t>
            </w:r>
          </w:p>
          <w:p>
            <w:pPr>
              <w:pStyle w:val="9"/>
              <w:widowControl/>
              <w:topLinePunct w:val="0"/>
              <w:spacing w:beforeAutospacing="0" w:afterAutospacing="0" w:line="336" w:lineRule="auto"/>
              <w:jc w:val="center"/>
              <w:rPr>
                <w:color w:val="auto"/>
              </w:rPr>
            </w:pPr>
          </w:p>
        </w:tc>
        <w:tc>
          <w:tcPr>
            <w:tcW w:w="3888" w:type="pct"/>
            <w:vAlign w:val="center"/>
          </w:tcPr>
          <w:p>
            <w:pPr>
              <w:pStyle w:val="9"/>
              <w:widowControl/>
              <w:topLinePunct w:val="0"/>
              <w:spacing w:beforeAutospacing="0" w:afterAutospacing="0" w:line="360" w:lineRule="auto"/>
              <w:jc w:val="both"/>
              <w:rPr>
                <w:rFonts w:hint="eastAsia" w:eastAsia="宋体"/>
                <w:color w:val="auto"/>
                <w:lang w:eastAsia="zh-CN"/>
              </w:rPr>
            </w:pPr>
            <w:r>
              <w:rPr>
                <w:rFonts w:hint="eastAsia"/>
                <w:color w:val="auto"/>
                <w:kern w:val="2"/>
                <w:sz w:val="21"/>
              </w:rPr>
              <w:t xml:space="preserve">根据项目招标技术参数要求，完全满足招标文件要求的，得满分 </w:t>
            </w:r>
            <w:r>
              <w:rPr>
                <w:rFonts w:hint="eastAsia"/>
                <w:color w:val="auto"/>
                <w:kern w:val="2"/>
                <w:sz w:val="21"/>
                <w:lang w:val="en-US" w:eastAsia="zh-CN"/>
              </w:rPr>
              <w:t>40</w:t>
            </w:r>
            <w:r>
              <w:rPr>
                <w:rFonts w:hint="eastAsia"/>
                <w:color w:val="auto"/>
                <w:kern w:val="2"/>
                <w:sz w:val="21"/>
              </w:rPr>
              <w:t xml:space="preserve"> 分，加</w:t>
            </w:r>
            <w:r>
              <w:rPr>
                <w:rFonts w:hint="eastAsia"/>
                <w:color w:val="auto"/>
                <w:sz w:val="21"/>
              </w:rPr>
              <w:t>★</w:t>
            </w:r>
            <w:r>
              <w:rPr>
                <w:rFonts w:hint="eastAsia"/>
                <w:color w:val="auto"/>
                <w:kern w:val="2"/>
                <w:sz w:val="21"/>
                <w:lang w:val="en-US" w:eastAsia="zh-CN"/>
              </w:rPr>
              <w:t>号</w:t>
            </w:r>
            <w:r>
              <w:rPr>
                <w:rFonts w:hint="eastAsia"/>
                <w:color w:val="auto"/>
                <w:kern w:val="2"/>
                <w:sz w:val="21"/>
              </w:rPr>
              <w:t>的技术</w:t>
            </w:r>
            <w:r>
              <w:rPr>
                <w:rFonts w:hint="eastAsia"/>
                <w:color w:val="auto"/>
                <w:kern w:val="2"/>
                <w:sz w:val="21"/>
                <w:lang w:val="en-US" w:eastAsia="zh-CN"/>
              </w:rPr>
              <w:t>参数</w:t>
            </w:r>
            <w:r>
              <w:rPr>
                <w:rFonts w:hint="eastAsia"/>
                <w:color w:val="auto"/>
                <w:kern w:val="2"/>
                <w:sz w:val="21"/>
              </w:rPr>
              <w:t>或</w:t>
            </w:r>
            <w:r>
              <w:rPr>
                <w:rFonts w:hint="eastAsia"/>
                <w:color w:val="auto"/>
                <w:kern w:val="2"/>
                <w:sz w:val="21"/>
                <w:lang w:val="en-US" w:eastAsia="zh-CN"/>
              </w:rPr>
              <w:t>要求每有一条</w:t>
            </w:r>
            <w:r>
              <w:rPr>
                <w:rFonts w:hint="eastAsia"/>
                <w:color w:val="auto"/>
                <w:kern w:val="2"/>
                <w:sz w:val="21"/>
              </w:rPr>
              <w:t>不满足存在负偏离扣</w:t>
            </w:r>
            <w:r>
              <w:rPr>
                <w:rFonts w:hint="eastAsia"/>
                <w:color w:val="auto"/>
                <w:kern w:val="2"/>
                <w:sz w:val="21"/>
                <w:lang w:val="en-US" w:eastAsia="zh-CN"/>
              </w:rPr>
              <w:t>3</w:t>
            </w:r>
            <w:r>
              <w:rPr>
                <w:rFonts w:hint="eastAsia"/>
                <w:color w:val="auto"/>
                <w:kern w:val="2"/>
                <w:sz w:val="21"/>
              </w:rPr>
              <w:t>分，</w:t>
            </w:r>
            <w:r>
              <w:rPr>
                <w:rFonts w:hint="eastAsia"/>
                <w:color w:val="auto"/>
                <w:kern w:val="2"/>
                <w:sz w:val="21"/>
                <w:lang w:val="en-US" w:eastAsia="zh-CN"/>
              </w:rPr>
              <w:t>非</w:t>
            </w:r>
            <w:r>
              <w:rPr>
                <w:rFonts w:hint="eastAsia"/>
                <w:color w:val="auto"/>
                <w:kern w:val="2"/>
                <w:sz w:val="21"/>
              </w:rPr>
              <w:t>★</w:t>
            </w:r>
            <w:r>
              <w:rPr>
                <w:rFonts w:hint="eastAsia"/>
                <w:color w:val="auto"/>
                <w:kern w:val="2"/>
                <w:sz w:val="21"/>
                <w:lang w:val="en-US" w:eastAsia="zh-CN"/>
              </w:rPr>
              <w:t>号的技术参数或要求每有一项不满足的扣 1分，</w:t>
            </w:r>
            <w:r>
              <w:rPr>
                <w:rFonts w:hint="eastAsia"/>
                <w:color w:val="auto"/>
                <w:kern w:val="2"/>
                <w:sz w:val="21"/>
              </w:rPr>
              <w:t>扣完为止（如应答时缺项，则视同负偏离处理）。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97" w:type="pct"/>
            <w:vMerge w:val="continue"/>
            <w:vAlign w:val="center"/>
          </w:tcPr>
          <w:p>
            <w:pPr>
              <w:pStyle w:val="14"/>
              <w:jc w:val="center"/>
              <w:rPr>
                <w:color w:val="auto"/>
              </w:rPr>
            </w:pPr>
          </w:p>
        </w:tc>
        <w:tc>
          <w:tcPr>
            <w:tcW w:w="614" w:type="pct"/>
            <w:vAlign w:val="center"/>
          </w:tcPr>
          <w:p>
            <w:pPr>
              <w:wordWrap/>
              <w:topLinePunct w:val="0"/>
              <w:spacing w:beforeAutospacing="0" w:afterAutospacing="0" w:line="336" w:lineRule="auto"/>
              <w:jc w:val="center"/>
              <w:rPr>
                <w:rFonts w:hint="eastAsia"/>
                <w:color w:val="auto"/>
                <w:sz w:val="21"/>
                <w:szCs w:val="21"/>
              </w:rPr>
            </w:pPr>
            <w:r>
              <w:rPr>
                <w:rFonts w:hint="eastAsia"/>
                <w:color w:val="auto"/>
                <w:sz w:val="21"/>
                <w:szCs w:val="21"/>
              </w:rPr>
              <w:t>投标产品</w:t>
            </w:r>
          </w:p>
          <w:p>
            <w:pPr>
              <w:wordWrap/>
              <w:topLinePunct w:val="0"/>
              <w:spacing w:beforeAutospacing="0" w:afterAutospacing="0" w:line="336" w:lineRule="auto"/>
              <w:ind w:firstLine="210" w:firstLineChars="100"/>
              <w:jc w:val="center"/>
              <w:rPr>
                <w:rFonts w:hint="eastAsia"/>
                <w:color w:val="auto"/>
                <w:sz w:val="21"/>
                <w:szCs w:val="21"/>
              </w:rPr>
            </w:pPr>
            <w:r>
              <w:rPr>
                <w:rFonts w:hint="eastAsia"/>
                <w:color w:val="auto"/>
                <w:sz w:val="21"/>
                <w:szCs w:val="21"/>
              </w:rPr>
              <w:t>评价</w:t>
            </w:r>
          </w:p>
          <w:p>
            <w:pPr>
              <w:wordWrap/>
              <w:topLinePunct w:val="0"/>
              <w:spacing w:beforeAutospacing="0" w:afterAutospacing="0" w:line="336" w:lineRule="auto"/>
              <w:ind w:firstLine="210" w:firstLineChars="100"/>
              <w:jc w:val="center"/>
              <w:rPr>
                <w:color w:val="auto"/>
                <w:sz w:val="21"/>
              </w:rPr>
            </w:pPr>
            <w:r>
              <w:rPr>
                <w:rFonts w:hint="eastAsia"/>
                <w:color w:val="auto"/>
                <w:sz w:val="21"/>
                <w:szCs w:val="21"/>
              </w:rPr>
              <w:t>5分</w:t>
            </w:r>
          </w:p>
        </w:tc>
        <w:tc>
          <w:tcPr>
            <w:tcW w:w="3888" w:type="pct"/>
            <w:vAlign w:val="center"/>
          </w:tcPr>
          <w:p>
            <w:pPr>
              <w:pStyle w:val="9"/>
              <w:topLinePunct w:val="0"/>
              <w:spacing w:beforeAutospacing="0" w:afterAutospacing="0" w:line="360" w:lineRule="auto"/>
              <w:jc w:val="left"/>
              <w:rPr>
                <w:color w:val="auto"/>
                <w:sz w:val="21"/>
              </w:rPr>
            </w:pPr>
            <w:r>
              <w:rPr>
                <w:rFonts w:hint="eastAsia"/>
                <w:color w:val="auto"/>
                <w:sz w:val="21"/>
                <w:szCs w:val="21"/>
              </w:rPr>
              <w:t>设备配置是否完整、选型和功能是否完全满足招标文件要求，并具有先进性、可靠性、适用性、稳定性等特性，评委根据投标产品是否具有优势进行打分，具有非常优势</w:t>
            </w:r>
            <w:r>
              <w:rPr>
                <w:rFonts w:hint="eastAsia"/>
                <w:color w:val="auto"/>
                <w:sz w:val="21"/>
                <w:szCs w:val="21"/>
                <w:lang w:val="en-US" w:eastAsia="zh-CN"/>
              </w:rPr>
              <w:t>且</w:t>
            </w:r>
            <w:r>
              <w:rPr>
                <w:rFonts w:hint="eastAsia"/>
                <w:color w:val="auto"/>
                <w:sz w:val="21"/>
                <w:szCs w:val="21"/>
              </w:rPr>
              <w:t>证书齐全的得 4-5 分，具有一般优势的得 3-2 分，没有优势的得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97" w:type="pct"/>
            <w:vMerge w:val="restart"/>
            <w:vAlign w:val="center"/>
          </w:tcPr>
          <w:p>
            <w:pPr>
              <w:widowControl/>
              <w:jc w:val="center"/>
              <w:rPr>
                <w:rFonts w:hint="eastAsia"/>
                <w:color w:val="auto"/>
              </w:rPr>
            </w:pPr>
            <w:r>
              <w:rPr>
                <w:rFonts w:hint="eastAsia"/>
                <w:color w:val="auto"/>
              </w:rPr>
              <w:t>商务</w:t>
            </w:r>
          </w:p>
          <w:p>
            <w:pPr>
              <w:widowControl/>
              <w:jc w:val="center"/>
              <w:rPr>
                <w:rFonts w:hint="eastAsia"/>
                <w:color w:val="auto"/>
              </w:rPr>
            </w:pPr>
            <w:r>
              <w:rPr>
                <w:rFonts w:hint="eastAsia"/>
                <w:color w:val="auto"/>
              </w:rPr>
              <w:t>部分</w:t>
            </w:r>
          </w:p>
          <w:p>
            <w:pPr>
              <w:widowControl/>
              <w:jc w:val="center"/>
              <w:rPr>
                <w:color w:val="auto"/>
              </w:rPr>
            </w:pPr>
            <w:r>
              <w:rPr>
                <w:rFonts w:hint="eastAsia"/>
                <w:color w:val="auto"/>
              </w:rPr>
              <w:t>2</w:t>
            </w:r>
            <w:r>
              <w:rPr>
                <w:rFonts w:hint="eastAsia"/>
                <w:color w:val="auto"/>
                <w:lang w:val="en-US" w:eastAsia="zh-CN"/>
              </w:rPr>
              <w:t>5</w:t>
            </w:r>
            <w:r>
              <w:rPr>
                <w:rFonts w:hint="eastAsia"/>
                <w:color w:val="auto"/>
              </w:rPr>
              <w:t>分</w:t>
            </w:r>
          </w:p>
          <w:p>
            <w:pPr>
              <w:jc w:val="center"/>
              <w:rPr>
                <w:color w:val="auto"/>
              </w:rPr>
            </w:pPr>
          </w:p>
        </w:tc>
        <w:tc>
          <w:tcPr>
            <w:tcW w:w="614" w:type="pct"/>
            <w:vAlign w:val="center"/>
          </w:tcPr>
          <w:p>
            <w:pPr>
              <w:pStyle w:val="15"/>
              <w:wordWrap/>
              <w:topLinePunct w:val="0"/>
              <w:ind w:left="0" w:firstLine="0"/>
              <w:jc w:val="center"/>
              <w:rPr>
                <w:color w:val="auto"/>
              </w:rPr>
            </w:pPr>
            <w:r>
              <w:rPr>
                <w:rFonts w:hint="eastAsia"/>
                <w:color w:val="auto"/>
              </w:rPr>
              <w:t>业绩</w:t>
            </w:r>
            <w:r>
              <w:rPr>
                <w:rFonts w:hint="eastAsia"/>
                <w:color w:val="auto"/>
                <w:lang w:val="en-US" w:eastAsia="zh-CN"/>
              </w:rPr>
              <w:t>4</w:t>
            </w:r>
            <w:r>
              <w:rPr>
                <w:rFonts w:hint="eastAsia"/>
                <w:color w:val="auto"/>
              </w:rPr>
              <w:t>分</w:t>
            </w:r>
          </w:p>
        </w:tc>
        <w:tc>
          <w:tcPr>
            <w:tcW w:w="3888" w:type="pct"/>
            <w:vAlign w:val="center"/>
          </w:tcPr>
          <w:p>
            <w:pPr>
              <w:wordWrap/>
              <w:topLinePunct w:val="0"/>
              <w:spacing w:line="360" w:lineRule="auto"/>
              <w:jc w:val="both"/>
              <w:rPr>
                <w:color w:val="auto"/>
              </w:rPr>
            </w:pPr>
            <w:r>
              <w:rPr>
                <w:rFonts w:hint="eastAsia" w:cs="Times New Roman"/>
                <w:color w:val="auto"/>
                <w:kern w:val="0"/>
                <w:lang w:val="en-US" w:eastAsia="zh-CN"/>
              </w:rPr>
              <w:t>投标人自 2018年 1 月 1 日（以合同签订时间为准）以来具有已经通过用户验收合格的类似仪器设备项目业绩，每提供一个得 2 分，最高得 4 分。</w:t>
            </w:r>
            <w:r>
              <w:rPr>
                <w:rFonts w:hint="default" w:cs="Times New Roman"/>
                <w:color w:val="auto"/>
                <w:kern w:val="0"/>
              </w:rPr>
              <w:t>【投标人须提供采购合同</w:t>
            </w:r>
            <w:r>
              <w:rPr>
                <w:rFonts w:hint="eastAsia" w:cs="Times New Roman"/>
                <w:color w:val="auto"/>
                <w:kern w:val="0"/>
                <w:lang w:val="en-US" w:eastAsia="zh-CN"/>
              </w:rPr>
              <w:t>和验收报告</w:t>
            </w:r>
            <w:r>
              <w:rPr>
                <w:rFonts w:hint="default" w:cs="Times New Roman"/>
                <w:color w:val="auto"/>
                <w:kern w:val="0"/>
                <w:lang w:val="en-US" w:eastAsia="zh-CN"/>
              </w:rPr>
              <w:t>扫描件</w:t>
            </w:r>
            <w:r>
              <w:rPr>
                <w:rFonts w:hint="eastAsia" w:cs="Times New Roman"/>
                <w:color w:val="auto"/>
                <w:kern w:val="0"/>
                <w:lang w:val="en-US" w:eastAsia="zh-CN"/>
              </w:rPr>
              <w:t>，否则不得分</w:t>
            </w:r>
            <w:r>
              <w:rPr>
                <w:rFonts w:hint="default" w:cs="Times New Roman"/>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97" w:type="pct"/>
            <w:vMerge w:val="continue"/>
            <w:vAlign w:val="center"/>
          </w:tcPr>
          <w:p>
            <w:pPr>
              <w:jc w:val="center"/>
              <w:rPr>
                <w:color w:val="auto"/>
              </w:rPr>
            </w:pPr>
          </w:p>
        </w:tc>
        <w:tc>
          <w:tcPr>
            <w:tcW w:w="614" w:type="pct"/>
            <w:vAlign w:val="center"/>
          </w:tcPr>
          <w:p>
            <w:pPr>
              <w:wordWrap/>
              <w:topLinePunct w:val="0"/>
              <w:spacing w:line="336" w:lineRule="auto"/>
              <w:jc w:val="center"/>
              <w:rPr>
                <w:color w:val="auto"/>
                <w:kern w:val="0"/>
              </w:rPr>
            </w:pPr>
            <w:r>
              <w:rPr>
                <w:rFonts w:hint="eastAsia"/>
                <w:color w:val="auto"/>
                <w:sz w:val="21"/>
                <w:szCs w:val="21"/>
                <w:lang w:eastAsia="zh-CN"/>
              </w:rPr>
              <w:t>生产商实力</w:t>
            </w:r>
            <w:r>
              <w:rPr>
                <w:rFonts w:hint="eastAsia"/>
                <w:color w:val="auto"/>
                <w:lang w:val="en-US" w:eastAsia="zh-CN"/>
              </w:rPr>
              <w:t>6</w:t>
            </w:r>
            <w:r>
              <w:rPr>
                <w:rFonts w:hint="eastAsia"/>
                <w:color w:val="auto"/>
              </w:rPr>
              <w:t>分</w:t>
            </w:r>
          </w:p>
        </w:tc>
        <w:tc>
          <w:tcPr>
            <w:tcW w:w="3888" w:type="pct"/>
            <w:vAlign w:val="center"/>
          </w:tcPr>
          <w:p>
            <w:pPr>
              <w:wordWrap/>
              <w:topLinePunct w:val="0"/>
              <w:spacing w:line="360" w:lineRule="auto"/>
              <w:jc w:val="left"/>
              <w:rPr>
                <w:color w:val="auto"/>
              </w:rPr>
            </w:pPr>
            <w:r>
              <w:rPr>
                <w:rFonts w:hint="eastAsia"/>
                <w:color w:val="auto"/>
                <w:lang w:eastAsia="zh-CN"/>
              </w:rPr>
              <w:t>生产商具有</w:t>
            </w:r>
            <w:r>
              <w:rPr>
                <w:color w:val="auto"/>
              </w:rPr>
              <w:t>质量管理体系认证、环境管理体系认证、</w:t>
            </w:r>
            <w:r>
              <w:rPr>
                <w:rFonts w:hint="eastAsia"/>
                <w:color w:val="auto"/>
                <w:lang w:eastAsia="zh-CN"/>
              </w:rPr>
              <w:t>辐射安全许可证书的，</w:t>
            </w:r>
            <w:r>
              <w:rPr>
                <w:color w:val="auto"/>
              </w:rPr>
              <w:t>每提供一项</w:t>
            </w:r>
            <w:r>
              <w:rPr>
                <w:rFonts w:hint="eastAsia"/>
                <w:color w:val="auto"/>
                <w:lang w:val="en-US" w:eastAsia="zh-CN"/>
              </w:rPr>
              <w:t>得2</w:t>
            </w:r>
            <w:r>
              <w:rPr>
                <w:color w:val="auto"/>
              </w:rPr>
              <w:t>分，</w:t>
            </w:r>
            <w:r>
              <w:rPr>
                <w:rFonts w:hint="eastAsia"/>
                <w:color w:val="auto"/>
                <w:lang w:val="en-US" w:eastAsia="zh-CN"/>
              </w:rPr>
              <w:t>最多得6</w:t>
            </w:r>
            <w:r>
              <w:rPr>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497" w:type="pct"/>
            <w:vMerge w:val="continue"/>
            <w:vAlign w:val="center"/>
          </w:tcPr>
          <w:p>
            <w:pPr>
              <w:jc w:val="center"/>
              <w:rPr>
                <w:color w:val="auto"/>
              </w:rPr>
            </w:pPr>
          </w:p>
        </w:tc>
        <w:tc>
          <w:tcPr>
            <w:tcW w:w="614" w:type="pct"/>
            <w:vAlign w:val="center"/>
          </w:tcPr>
          <w:p>
            <w:pPr>
              <w:wordWrap/>
              <w:topLinePunct w:val="0"/>
              <w:spacing w:line="360" w:lineRule="auto"/>
              <w:jc w:val="center"/>
              <w:rPr>
                <w:rFonts w:hint="eastAsia"/>
                <w:color w:val="auto"/>
                <w:kern w:val="2"/>
                <w:lang w:val="en-US" w:eastAsia="zh-CN"/>
              </w:rPr>
            </w:pPr>
            <w:r>
              <w:rPr>
                <w:rFonts w:hint="eastAsia"/>
                <w:color w:val="auto"/>
                <w:kern w:val="2"/>
                <w:lang w:val="en-US" w:eastAsia="zh-CN"/>
              </w:rPr>
              <w:t>售后服务</w:t>
            </w:r>
          </w:p>
          <w:p>
            <w:pPr>
              <w:wordWrap/>
              <w:topLinePunct w:val="0"/>
              <w:spacing w:line="360" w:lineRule="auto"/>
              <w:jc w:val="center"/>
              <w:rPr>
                <w:color w:val="auto"/>
                <w:kern w:val="2"/>
              </w:rPr>
            </w:pPr>
            <w:r>
              <w:rPr>
                <w:rFonts w:hint="eastAsia"/>
                <w:color w:val="auto"/>
                <w:kern w:val="2"/>
                <w:lang w:val="en-US" w:eastAsia="zh-CN"/>
              </w:rPr>
              <w:t>8分</w:t>
            </w:r>
          </w:p>
        </w:tc>
        <w:tc>
          <w:tcPr>
            <w:tcW w:w="3888" w:type="pct"/>
            <w:vAlign w:val="center"/>
          </w:tcPr>
          <w:p>
            <w:pPr>
              <w:wordWrap/>
              <w:topLinePunct w:val="0"/>
              <w:spacing w:line="360" w:lineRule="auto"/>
              <w:jc w:val="left"/>
              <w:rPr>
                <w:color w:val="auto"/>
              </w:rPr>
            </w:pPr>
            <w:r>
              <w:rPr>
                <w:rFonts w:hint="eastAsia"/>
                <w:color w:val="auto"/>
                <w:lang w:val="en-US" w:eastAsia="zh-CN"/>
              </w:rPr>
              <w:t xml:space="preserve">评标委员会根据各合格投标人提供的售后服务方案进行评价，从质保期内、外保服务的障措施、服务内容、定期巡检、升级服务，故障响应时间和应急维修措施、备品备件配备情况等方面进行评审，未提供的不得分。 第一档 6-8 分，第二档 3-5 分，第三档 0-2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97" w:type="pct"/>
            <w:vMerge w:val="continue"/>
            <w:vAlign w:val="center"/>
          </w:tcPr>
          <w:p>
            <w:pPr>
              <w:jc w:val="center"/>
              <w:rPr>
                <w:color w:val="auto"/>
              </w:rPr>
            </w:pPr>
          </w:p>
        </w:tc>
        <w:tc>
          <w:tcPr>
            <w:tcW w:w="614" w:type="pct"/>
            <w:vAlign w:val="center"/>
          </w:tcPr>
          <w:p>
            <w:pPr>
              <w:wordWrap/>
              <w:topLinePunct w:val="0"/>
              <w:spacing w:line="360" w:lineRule="auto"/>
              <w:jc w:val="center"/>
              <w:rPr>
                <w:rFonts w:hint="eastAsia"/>
                <w:color w:val="auto"/>
                <w:lang w:val="en-US" w:eastAsia="zh-CN"/>
              </w:rPr>
            </w:pPr>
            <w:r>
              <w:rPr>
                <w:rFonts w:hint="eastAsia"/>
                <w:color w:val="auto"/>
                <w:lang w:val="en-US" w:eastAsia="zh-CN"/>
              </w:rPr>
              <w:t>培训方案</w:t>
            </w:r>
          </w:p>
          <w:p>
            <w:pPr>
              <w:wordWrap/>
              <w:topLinePunct w:val="0"/>
              <w:spacing w:line="360" w:lineRule="auto"/>
              <w:jc w:val="center"/>
              <w:rPr>
                <w:rFonts w:hint="default"/>
                <w:lang w:val="en-US" w:eastAsia="zh-CN"/>
              </w:rPr>
            </w:pPr>
            <w:r>
              <w:rPr>
                <w:rFonts w:hint="eastAsia"/>
                <w:color w:val="auto"/>
                <w:kern w:val="2"/>
                <w:lang w:val="en-US" w:eastAsia="zh-CN"/>
              </w:rPr>
              <w:t>4分</w:t>
            </w:r>
          </w:p>
        </w:tc>
        <w:tc>
          <w:tcPr>
            <w:tcW w:w="3888" w:type="pct"/>
            <w:vAlign w:val="center"/>
          </w:tcPr>
          <w:p>
            <w:pPr>
              <w:wordWrap/>
              <w:topLinePunct w:val="0"/>
              <w:spacing w:line="360" w:lineRule="auto"/>
              <w:jc w:val="left"/>
              <w:rPr>
                <w:color w:val="auto"/>
              </w:rPr>
            </w:pPr>
            <w:r>
              <w:rPr>
                <w:rFonts w:hint="eastAsia"/>
                <w:color w:val="auto"/>
                <w:lang w:val="en-US" w:eastAsia="zh-CN"/>
              </w:rPr>
              <w:t>投标人应提供详尽的培训方案，由评标委员会根据提供情况进行打分。一档：3-4分，二档：0 -2分。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7" w:type="pct"/>
            <w:vMerge w:val="continue"/>
            <w:vAlign w:val="center"/>
          </w:tcPr>
          <w:p>
            <w:pPr>
              <w:jc w:val="center"/>
              <w:rPr>
                <w:color w:val="auto"/>
              </w:rPr>
            </w:pPr>
          </w:p>
        </w:tc>
        <w:tc>
          <w:tcPr>
            <w:tcW w:w="614" w:type="pct"/>
            <w:vAlign w:val="center"/>
          </w:tcPr>
          <w:p>
            <w:pPr>
              <w:spacing w:line="360" w:lineRule="auto"/>
              <w:jc w:val="center"/>
              <w:rPr>
                <w:rFonts w:hint="eastAsia"/>
                <w:color w:val="auto"/>
                <w:kern w:val="2"/>
                <w:lang w:val="en-US" w:eastAsia="zh-CN"/>
              </w:rPr>
            </w:pPr>
            <w:r>
              <w:rPr>
                <w:rFonts w:hint="eastAsia"/>
                <w:color w:val="auto"/>
                <w:kern w:val="2"/>
                <w:lang w:val="en-US" w:eastAsia="zh-CN"/>
              </w:rPr>
              <w:t>质保期</w:t>
            </w:r>
          </w:p>
          <w:p>
            <w:pPr>
              <w:spacing w:line="360" w:lineRule="auto"/>
              <w:jc w:val="center"/>
              <w:rPr>
                <w:color w:val="auto"/>
              </w:rPr>
            </w:pPr>
            <w:r>
              <w:rPr>
                <w:rFonts w:hint="eastAsia"/>
                <w:color w:val="auto"/>
                <w:lang w:val="en-US" w:eastAsia="zh-CN"/>
              </w:rPr>
              <w:t>2</w:t>
            </w:r>
            <w:r>
              <w:rPr>
                <w:rFonts w:hint="default"/>
                <w:color w:val="auto"/>
              </w:rPr>
              <w:t>分</w:t>
            </w:r>
          </w:p>
        </w:tc>
        <w:tc>
          <w:tcPr>
            <w:tcW w:w="3888" w:type="pct"/>
            <w:vAlign w:val="center"/>
          </w:tcPr>
          <w:p>
            <w:pPr>
              <w:wordWrap/>
              <w:topLinePunct w:val="0"/>
              <w:spacing w:line="360" w:lineRule="auto"/>
              <w:jc w:val="left"/>
              <w:rPr>
                <w:color w:val="auto"/>
              </w:rPr>
            </w:pPr>
            <w:r>
              <w:rPr>
                <w:rFonts w:hint="eastAsia"/>
                <w:color w:val="auto"/>
                <w:lang w:val="en-US" w:eastAsia="zh-CN"/>
              </w:rPr>
              <w:t xml:space="preserve">质保期（厂家质保）满足招标文件要求不得分，每延1 年加 1 分，本项最多 2 分。 注：延长不足 12 个月者，不加分。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497" w:type="pct"/>
            <w:vMerge w:val="continue"/>
            <w:vAlign w:val="center"/>
          </w:tcPr>
          <w:p>
            <w:pPr>
              <w:jc w:val="center"/>
              <w:rPr>
                <w:color w:val="auto"/>
              </w:rPr>
            </w:pPr>
          </w:p>
        </w:tc>
        <w:tc>
          <w:tcPr>
            <w:tcW w:w="614" w:type="pct"/>
            <w:vAlign w:val="center"/>
          </w:tcPr>
          <w:p>
            <w:pPr>
              <w:spacing w:line="360" w:lineRule="auto"/>
              <w:jc w:val="center"/>
              <w:rPr>
                <w:rFonts w:hint="eastAsia"/>
                <w:lang w:val="en-US" w:eastAsia="zh-CN"/>
              </w:rPr>
            </w:pPr>
            <w:r>
              <w:rPr>
                <w:rFonts w:hint="eastAsia"/>
                <w:lang w:val="en-US" w:eastAsia="zh-CN"/>
              </w:rPr>
              <w:t>节能环保</w:t>
            </w:r>
          </w:p>
          <w:p>
            <w:pPr>
              <w:spacing w:line="360" w:lineRule="auto"/>
              <w:jc w:val="center"/>
              <w:rPr>
                <w:rFonts w:hint="default"/>
                <w:lang w:val="en-US" w:eastAsia="zh-CN"/>
              </w:rPr>
            </w:pPr>
            <w:r>
              <w:rPr>
                <w:rFonts w:hint="eastAsia"/>
                <w:color w:val="auto"/>
                <w:lang w:val="en-US" w:eastAsia="zh-CN"/>
              </w:rPr>
              <w:t>1分</w:t>
            </w:r>
          </w:p>
        </w:tc>
        <w:tc>
          <w:tcPr>
            <w:tcW w:w="3888" w:type="pct"/>
            <w:vAlign w:val="center"/>
          </w:tcPr>
          <w:p>
            <w:pPr>
              <w:wordWrap/>
              <w:topLinePunct w:val="0"/>
              <w:spacing w:line="360" w:lineRule="auto"/>
              <w:jc w:val="left"/>
              <w:rPr>
                <w:rFonts w:hint="eastAsia"/>
                <w:color w:val="auto"/>
                <w:lang w:val="en-US" w:eastAsia="zh-CN"/>
              </w:rPr>
            </w:pPr>
            <w:r>
              <w:rPr>
                <w:rFonts w:hint="eastAsia"/>
                <w:color w:val="auto"/>
                <w:lang w:val="en-US" w:eastAsia="zh-CN"/>
              </w:rPr>
              <w:t>投标产品中具有“节能清单”中非标记“★”产品，并提供经“机构名录”中的认证机构出具处于有效期之内的“节能产品认证证书”的得0.5分；投标产品属于“环保清单”产品的，并提供经“机构名录”中的认证机构出具处于有效期之内的“环境标志产品认证证书”的得0.5分；（提供认证证书扫描件加盖单位公章）</w:t>
            </w:r>
          </w:p>
        </w:tc>
      </w:tr>
    </w:tbl>
    <w:p>
      <w:pPr>
        <w:rPr>
          <w:color w:val="auto"/>
        </w:rPr>
      </w:pPr>
      <w:r>
        <w:rPr>
          <w:rFonts w:hint="eastAsia"/>
          <w:color w:val="auto"/>
        </w:rPr>
        <w:br w:type="page"/>
      </w:r>
    </w:p>
    <w:p>
      <w:pPr>
        <w:numPr>
          <w:ilvl w:val="0"/>
          <w:numId w:val="1"/>
        </w:numPr>
        <w:spacing w:line="360" w:lineRule="auto"/>
        <w:ind w:firstLine="420" w:firstLineChars="200"/>
        <w:rPr>
          <w:rFonts w:hint="eastAsia"/>
          <w:color w:val="auto"/>
        </w:rPr>
      </w:pPr>
      <w:r>
        <w:rPr>
          <w:rFonts w:hint="eastAsia"/>
          <w:color w:val="auto"/>
        </w:rPr>
        <w:t>评标委员会根据评标原则和评标标准对所有资格审查合格的投标人的投标文件进行符合性审查，以确定是否满足招标文件的实质性要求。符合招标文件实质性要求的投标文件，评委将按评分标准进行价格评议和综合评分。</w:t>
      </w:r>
    </w:p>
    <w:p>
      <w:pPr>
        <w:pStyle w:val="3"/>
        <w:numPr>
          <w:ilvl w:val="-1"/>
          <w:numId w:val="0"/>
        </w:numPr>
        <w:ind w:left="0" w:leftChars="0"/>
        <w:jc w:val="both"/>
      </w:pPr>
    </w:p>
    <w:tbl>
      <w:tblPr>
        <w:tblStyle w:val="10"/>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60"/>
        <w:gridCol w:w="5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110" w:type="dxa"/>
            <w:gridSpan w:val="2"/>
            <w:noWrap/>
            <w:tcMar>
              <w:left w:w="57" w:type="dxa"/>
              <w:right w:w="57" w:type="dxa"/>
            </w:tcMar>
            <w:vAlign w:val="center"/>
          </w:tcPr>
          <w:p>
            <w:pPr>
              <w:spacing w:line="440" w:lineRule="exact"/>
              <w:jc w:val="center"/>
              <w:rPr>
                <w:b/>
                <w:color w:val="auto"/>
              </w:rPr>
            </w:pPr>
            <w:r>
              <w:rPr>
                <w:rFonts w:hint="eastAsia"/>
                <w:b/>
                <w:color w:val="auto"/>
              </w:rPr>
              <w:t>评审因素</w:t>
            </w:r>
          </w:p>
        </w:tc>
        <w:tc>
          <w:tcPr>
            <w:tcW w:w="5161" w:type="dxa"/>
            <w:noWrap/>
            <w:tcMar>
              <w:left w:w="57" w:type="dxa"/>
              <w:right w:w="57" w:type="dxa"/>
            </w:tcMar>
            <w:vAlign w:val="center"/>
          </w:tcPr>
          <w:p>
            <w:pPr>
              <w:spacing w:line="440" w:lineRule="exact"/>
              <w:jc w:val="center"/>
              <w:rPr>
                <w:b/>
                <w:color w:val="auto"/>
              </w:rPr>
            </w:pPr>
            <w:r>
              <w:rPr>
                <w:rFonts w:hint="eastAsia"/>
                <w:b/>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restart"/>
            <w:noWrap/>
            <w:tcMar>
              <w:left w:w="57" w:type="dxa"/>
              <w:right w:w="57" w:type="dxa"/>
            </w:tcMar>
            <w:vAlign w:val="center"/>
          </w:tcPr>
          <w:p>
            <w:pPr>
              <w:spacing w:line="360" w:lineRule="auto"/>
              <w:jc w:val="center"/>
              <w:rPr>
                <w:color w:val="auto"/>
              </w:rPr>
            </w:pPr>
            <w:r>
              <w:rPr>
                <w:rFonts w:hint="eastAsia"/>
                <w:color w:val="auto"/>
              </w:rPr>
              <w:t>符合性审查</w:t>
            </w: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投标文件签署、盖章</w:t>
            </w:r>
          </w:p>
        </w:tc>
        <w:tc>
          <w:tcPr>
            <w:tcW w:w="5161" w:type="dxa"/>
            <w:noWrap/>
            <w:tcMar>
              <w:left w:w="57" w:type="dxa"/>
              <w:right w:w="57" w:type="dxa"/>
            </w:tcMar>
            <w:vAlign w:val="center"/>
          </w:tcPr>
          <w:p>
            <w:pPr>
              <w:widowControl/>
              <w:spacing w:line="360" w:lineRule="auto"/>
              <w:jc w:val="center"/>
              <w:rPr>
                <w:color w:val="auto"/>
              </w:rPr>
            </w:pPr>
            <w:r>
              <w:rPr>
                <w:rFonts w:hint="eastAsia"/>
                <w:color w:val="auto"/>
              </w:rPr>
              <w:t>投标文件按招标文件要求签署、盖章的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投标文件格式</w:t>
            </w:r>
          </w:p>
        </w:tc>
        <w:tc>
          <w:tcPr>
            <w:tcW w:w="5161" w:type="dxa"/>
            <w:noWrap/>
            <w:tcMar>
              <w:left w:w="57" w:type="dxa"/>
              <w:right w:w="57" w:type="dxa"/>
            </w:tcMar>
            <w:vAlign w:val="center"/>
          </w:tcPr>
          <w:p>
            <w:pPr>
              <w:widowControl/>
              <w:spacing w:line="360" w:lineRule="auto"/>
              <w:jc w:val="center"/>
              <w:rPr>
                <w:color w:val="auto"/>
              </w:rPr>
            </w:pPr>
            <w:r>
              <w:rPr>
                <w:rFonts w:hint="eastAsia"/>
                <w:color w:val="auto"/>
              </w:rPr>
              <w:t>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供应商名称</w:t>
            </w:r>
          </w:p>
        </w:tc>
        <w:tc>
          <w:tcPr>
            <w:tcW w:w="5161" w:type="dxa"/>
            <w:noWrap/>
            <w:tcMar>
              <w:left w:w="57" w:type="dxa"/>
              <w:right w:w="57" w:type="dxa"/>
            </w:tcMar>
            <w:vAlign w:val="center"/>
          </w:tcPr>
          <w:p>
            <w:pPr>
              <w:widowControl/>
              <w:spacing w:line="360" w:lineRule="auto"/>
              <w:jc w:val="center"/>
              <w:rPr>
                <w:color w:val="auto"/>
              </w:rPr>
            </w:pPr>
            <w:r>
              <w:rPr>
                <w:rFonts w:hint="eastAsia"/>
                <w:color w:val="auto"/>
                <w:kern w:val="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报价唯一</w:t>
            </w:r>
          </w:p>
        </w:tc>
        <w:tc>
          <w:tcPr>
            <w:tcW w:w="5161" w:type="dxa"/>
            <w:noWrap/>
            <w:tcMar>
              <w:left w:w="57" w:type="dxa"/>
              <w:right w:w="57" w:type="dxa"/>
            </w:tcMar>
            <w:vAlign w:val="center"/>
          </w:tcPr>
          <w:p>
            <w:pPr>
              <w:widowControl/>
              <w:spacing w:line="360" w:lineRule="auto"/>
              <w:jc w:val="center"/>
              <w:rPr>
                <w:color w:val="auto"/>
              </w:rPr>
            </w:pPr>
            <w:r>
              <w:rPr>
                <w:rFonts w:hint="eastAsia"/>
                <w:color w:val="auto"/>
                <w:kern w:val="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投标总报价</w:t>
            </w:r>
          </w:p>
        </w:tc>
        <w:tc>
          <w:tcPr>
            <w:tcW w:w="5161" w:type="dxa"/>
            <w:noWrap/>
            <w:tcMar>
              <w:left w:w="57" w:type="dxa"/>
              <w:right w:w="57" w:type="dxa"/>
            </w:tcMar>
            <w:vAlign w:val="center"/>
          </w:tcPr>
          <w:p>
            <w:pPr>
              <w:widowControl/>
              <w:spacing w:line="360" w:lineRule="auto"/>
              <w:jc w:val="center"/>
              <w:rPr>
                <w:color w:val="auto"/>
              </w:rPr>
            </w:pPr>
            <w:r>
              <w:rPr>
                <w:rFonts w:hint="eastAsia"/>
                <w:color w:val="auto"/>
                <w:kern w:val="0"/>
              </w:rPr>
              <w:t>报价未超过招标文件中规定的预算金额或者最高限价的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交货期</w:t>
            </w:r>
          </w:p>
        </w:tc>
        <w:tc>
          <w:tcPr>
            <w:tcW w:w="5161" w:type="dxa"/>
            <w:noWrap/>
            <w:tcMar>
              <w:left w:w="57" w:type="dxa"/>
              <w:right w:w="57" w:type="dxa"/>
            </w:tcMar>
            <w:vAlign w:val="center"/>
          </w:tcPr>
          <w:p>
            <w:pPr>
              <w:widowControl/>
              <w:spacing w:line="360" w:lineRule="auto"/>
              <w:jc w:val="center"/>
              <w:rPr>
                <w:color w:val="auto"/>
              </w:rPr>
            </w:pPr>
            <w:r>
              <w:rPr>
                <w:rFonts w:hint="eastAsia"/>
                <w:color w:val="auto"/>
                <w:lang w:val="en-US" w:eastAsia="zh-CN"/>
              </w:rPr>
              <w:t>合同签订后60日历天内完成安装及调试（采用进口产品投标的进口产品最长不超过90日历天完成）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交货地点</w:t>
            </w:r>
          </w:p>
        </w:tc>
        <w:tc>
          <w:tcPr>
            <w:tcW w:w="5161" w:type="dxa"/>
            <w:noWrap/>
            <w:tcMar>
              <w:left w:w="57" w:type="dxa"/>
              <w:right w:w="57" w:type="dxa"/>
            </w:tcMar>
            <w:vAlign w:val="center"/>
          </w:tcPr>
          <w:p>
            <w:pPr>
              <w:widowControl/>
              <w:spacing w:line="360" w:lineRule="auto"/>
              <w:jc w:val="center"/>
              <w:rPr>
                <w:color w:val="auto"/>
              </w:rPr>
            </w:pPr>
            <w:r>
              <w:rPr>
                <w:rFonts w:hint="eastAsia"/>
                <w:color w:val="auto"/>
                <w:kern w:val="0"/>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质保期</w:t>
            </w:r>
          </w:p>
        </w:tc>
        <w:tc>
          <w:tcPr>
            <w:tcW w:w="5161" w:type="dxa"/>
            <w:noWrap/>
            <w:tcMar>
              <w:left w:w="57" w:type="dxa"/>
              <w:right w:w="57" w:type="dxa"/>
            </w:tcMar>
            <w:vAlign w:val="center"/>
          </w:tcPr>
          <w:p>
            <w:pPr>
              <w:widowControl/>
              <w:spacing w:line="360" w:lineRule="auto"/>
              <w:jc w:val="center"/>
              <w:rPr>
                <w:color w:val="auto"/>
              </w:rPr>
            </w:pPr>
            <w:r>
              <w:rPr>
                <w:rFonts w:hint="eastAsia"/>
                <w:color w:val="auto"/>
                <w:kern w:val="0"/>
              </w:rPr>
              <w:t>自验收合格之日起一年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kern w:val="0"/>
              </w:rPr>
              <w:t>质量要求</w:t>
            </w:r>
          </w:p>
        </w:tc>
        <w:tc>
          <w:tcPr>
            <w:tcW w:w="5161" w:type="dxa"/>
            <w:noWrap/>
            <w:tcMar>
              <w:left w:w="57" w:type="dxa"/>
              <w:right w:w="57" w:type="dxa"/>
            </w:tcMar>
            <w:vAlign w:val="center"/>
          </w:tcPr>
          <w:p>
            <w:pPr>
              <w:widowControl/>
              <w:spacing w:line="360" w:lineRule="auto"/>
              <w:jc w:val="center"/>
              <w:rPr>
                <w:color w:val="auto"/>
              </w:rPr>
            </w:pPr>
            <w:r>
              <w:rPr>
                <w:rFonts w:hint="eastAsia"/>
                <w:color w:val="auto"/>
                <w:kern w:val="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0" w:type="dxa"/>
            <w:vMerge w:val="continue"/>
            <w:noWrap/>
            <w:tcMar>
              <w:left w:w="57" w:type="dxa"/>
              <w:right w:w="57" w:type="dxa"/>
            </w:tcMar>
            <w:vAlign w:val="center"/>
          </w:tcPr>
          <w:p>
            <w:pPr>
              <w:spacing w:line="360" w:lineRule="auto"/>
              <w:rPr>
                <w:color w:val="auto"/>
              </w:rPr>
            </w:pPr>
          </w:p>
        </w:tc>
        <w:tc>
          <w:tcPr>
            <w:tcW w:w="3260" w:type="dxa"/>
            <w:noWrap/>
            <w:tcMar>
              <w:left w:w="57" w:type="dxa"/>
              <w:right w:w="57" w:type="dxa"/>
            </w:tcMar>
            <w:vAlign w:val="center"/>
          </w:tcPr>
          <w:p>
            <w:pPr>
              <w:widowControl/>
              <w:spacing w:line="360" w:lineRule="auto"/>
              <w:jc w:val="center"/>
              <w:rPr>
                <w:color w:val="auto"/>
              </w:rPr>
            </w:pPr>
            <w:r>
              <w:rPr>
                <w:rFonts w:hint="eastAsia"/>
                <w:color w:val="auto"/>
              </w:rPr>
              <w:t>投标有效期</w:t>
            </w:r>
          </w:p>
        </w:tc>
        <w:tc>
          <w:tcPr>
            <w:tcW w:w="5161" w:type="dxa"/>
            <w:noWrap/>
            <w:tcMar>
              <w:left w:w="57" w:type="dxa"/>
              <w:right w:w="57" w:type="dxa"/>
            </w:tcMar>
            <w:vAlign w:val="center"/>
          </w:tcPr>
          <w:p>
            <w:pPr>
              <w:widowControl/>
              <w:spacing w:line="360" w:lineRule="auto"/>
              <w:jc w:val="center"/>
              <w:rPr>
                <w:color w:val="auto"/>
              </w:rPr>
            </w:pPr>
            <w:r>
              <w:rPr>
                <w:rFonts w:hint="eastAsia"/>
                <w:color w:val="auto"/>
                <w:kern w:val="0"/>
              </w:rPr>
              <w:t>投标文件递交截止之日起 60 日历天</w:t>
            </w:r>
          </w:p>
        </w:tc>
      </w:tr>
    </w:tbl>
    <w:p>
      <w:pPr>
        <w:rPr>
          <w:b/>
          <w:bCs/>
          <w:color w:val="auto"/>
          <w:sz w:val="24"/>
          <w:szCs w:val="24"/>
        </w:rPr>
      </w:pP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EA586"/>
    <w:multiLevelType w:val="singleLevel"/>
    <w:tmpl w:val="C0FEA58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45169"/>
    <w:rsid w:val="46E4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4">
    <w:name w:val="heading 1"/>
    <w:basedOn w:val="1"/>
    <w:next w:val="1"/>
    <w:qFormat/>
    <w:uiPriority w:val="1"/>
    <w:pPr>
      <w:outlineLvl w:val="0"/>
    </w:pPr>
    <w:rPr>
      <w:b/>
      <w:bCs/>
      <w:sz w:val="32"/>
      <w:szCs w:val="32"/>
    </w:rPr>
  </w:style>
  <w:style w:type="paragraph" w:styleId="5">
    <w:name w:val="heading 2"/>
    <w:basedOn w:val="1"/>
    <w:next w:val="6"/>
    <w:qFormat/>
    <w:uiPriority w:val="0"/>
    <w:pPr>
      <w:keepNext/>
      <w:keepLines/>
      <w:spacing w:line="416" w:lineRule="auto"/>
      <w:jc w:val="left"/>
      <w:outlineLvl w:val="1"/>
    </w:pPr>
    <w:rPr>
      <w:b/>
      <w:bCs/>
      <w:sz w:val="24"/>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qFormat/>
    <w:uiPriority w:val="99"/>
    <w:pPr>
      <w:ind w:firstLine="420" w:firstLineChars="200"/>
    </w:pPr>
    <w:rPr>
      <w:szCs w:val="20"/>
    </w:rPr>
  </w:style>
  <w:style w:type="paragraph" w:styleId="7">
    <w:name w:val="Plain Text"/>
    <w:basedOn w:val="1"/>
    <w:link w:val="13"/>
    <w:qFormat/>
    <w:uiPriority w:val="0"/>
    <w:rPr>
      <w:rFonts w:hAnsi="Courier New"/>
      <w:szCs w:val="20"/>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纯文本 Char"/>
    <w:basedOn w:val="12"/>
    <w:link w:val="7"/>
    <w:qFormat/>
    <w:uiPriority w:val="0"/>
    <w:rPr>
      <w:rFonts w:hAnsi="Courier New"/>
      <w:szCs w:val="2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next w:val="2"/>
    <w:qFormat/>
    <w:uiPriority w:val="99"/>
    <w:pPr>
      <w:ind w:left="1658" w:hanging="7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市商务局</Company>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2021-09-22T10:21:00Z</dcterms:created>
  <dc:creator>杜安</dc:creator>
  <cp:lastModifiedBy>杜安</cp:lastModifiedBy>
  <dcterms:modified xsi:type="dcterms:W3CDTF">2021-09-22T10:45:31Z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1AE68C9E1B8549AC8F9B74DEF913DA7D</vt:lpwstr>
  </property>
</Properties>
</file>